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87278" w14:textId="77777777" w:rsidR="00101901" w:rsidRPr="00101901" w:rsidRDefault="00101901" w:rsidP="00101901">
      <w:pPr>
        <w:rPr>
          <w:b/>
          <w:bCs/>
        </w:rPr>
      </w:pPr>
      <w:r w:rsidRPr="00101901">
        <w:rPr>
          <w:b/>
          <w:bCs/>
        </w:rPr>
        <w:t>1. Company Overview</w:t>
      </w:r>
    </w:p>
    <w:p w14:paraId="3D9C5264" w14:textId="77777777" w:rsidR="00101901" w:rsidRPr="00101901" w:rsidRDefault="00101901" w:rsidP="00101901">
      <w:pPr>
        <w:rPr>
          <w:b/>
          <w:bCs/>
        </w:rPr>
      </w:pPr>
      <w:r w:rsidRPr="00101901">
        <w:rPr>
          <w:b/>
          <w:bCs/>
        </w:rPr>
        <w:t>Infosys Limited – Company Overview</w:t>
      </w:r>
    </w:p>
    <w:p w14:paraId="31119647" w14:textId="77777777" w:rsidR="00101901" w:rsidRPr="00101901" w:rsidRDefault="00101901" w:rsidP="00101901">
      <w:r w:rsidRPr="00101901">
        <w:t>Infosys Limited is a global leader in next-generation digital services and consulting, providing technology solutions to enterprises across various industries. The company focuses on areas such as artificial intelligence, cloud computing, data and analytics, digital transformation, and enterprise technology services. Infosys has a globally diversified client base and derives the majority of its revenue from international markets.</w:t>
      </w:r>
    </w:p>
    <w:p w14:paraId="0ABEF45E" w14:textId="77777777" w:rsidR="00101901" w:rsidRPr="00101901" w:rsidRDefault="00101901" w:rsidP="00101901">
      <w:r w:rsidRPr="00101901">
        <w:t xml:space="preserve">The company operates across multiple industry segments including Financial Services, Retail, Communication, Energy, Utilities, Resources &amp; Services, Manufacturing, Hi-Tech and Life Sciences. Financial Services remains one of its largest revenue-generating segments, while Manufacturing and Energy, Utilities, Resources &amp; Services have also demonstrated strong growth. </w:t>
      </w:r>
    </w:p>
    <w:p w14:paraId="5AB17411" w14:textId="77777777" w:rsidR="00101901" w:rsidRPr="00101901" w:rsidRDefault="00101901" w:rsidP="00101901">
      <w:r w:rsidRPr="00101901">
        <w:t xml:space="preserve">For FY2026, Infosys reported consolidated revenue of </w:t>
      </w:r>
      <w:r w:rsidRPr="00101901">
        <w:rPr>
          <w:b/>
          <w:bCs/>
        </w:rPr>
        <w:t>₹1,78,650 crore</w:t>
      </w:r>
      <w:r w:rsidRPr="00101901">
        <w:t xml:space="preserve">, representing </w:t>
      </w:r>
      <w:r w:rsidRPr="00101901">
        <w:rPr>
          <w:b/>
          <w:bCs/>
        </w:rPr>
        <w:t>9.6% year-on-year growth</w:t>
      </w:r>
      <w:r w:rsidRPr="00101901">
        <w:t xml:space="preserve">, while net profit attributable to owners increased to </w:t>
      </w:r>
      <w:r w:rsidRPr="00101901">
        <w:rPr>
          <w:b/>
          <w:bCs/>
        </w:rPr>
        <w:t>₹29,440 crore</w:t>
      </w:r>
      <w:r w:rsidRPr="00101901">
        <w:t xml:space="preserve">. Basic EPS increased to </w:t>
      </w:r>
      <w:r w:rsidRPr="00101901">
        <w:rPr>
          <w:b/>
          <w:bCs/>
        </w:rPr>
        <w:t>₹71.58</w:t>
      </w:r>
      <w:r w:rsidRPr="00101901">
        <w:t xml:space="preserve"> from ₹64.50 in FY2025. </w:t>
      </w:r>
    </w:p>
    <w:p w14:paraId="64BE99AC" w14:textId="77777777" w:rsidR="00101901" w:rsidRPr="00101901" w:rsidRDefault="00101901" w:rsidP="00101901">
      <w:r w:rsidRPr="00101901">
        <w:t xml:space="preserve">The company's business strategy increasingly focuses on AI-led transformation, cloud services and digital capabilities. According to the FY2026 Integrated Report, AI-led programmes had been deployed across 90% of Infosys' top 200 clients, highlighting the company's focus on participating in the enterprise AI transition. </w:t>
      </w:r>
    </w:p>
    <w:p w14:paraId="7F1A5218" w14:textId="77777777" w:rsidR="00101901" w:rsidRPr="00101901" w:rsidRDefault="00101901" w:rsidP="00101901">
      <w:pPr>
        <w:rPr>
          <w:b/>
          <w:bCs/>
        </w:rPr>
      </w:pPr>
      <w:r w:rsidRPr="00101901">
        <w:rPr>
          <w:b/>
          <w:bCs/>
        </w:rPr>
        <w:t>Key Business Strengths</w:t>
      </w:r>
    </w:p>
    <w:p w14:paraId="2FCC512A" w14:textId="77777777" w:rsidR="00101901" w:rsidRPr="00101901" w:rsidRDefault="00101901" w:rsidP="00101901">
      <w:pPr>
        <w:numPr>
          <w:ilvl w:val="0"/>
          <w:numId w:val="1"/>
        </w:numPr>
      </w:pPr>
      <w:r w:rsidRPr="00101901">
        <w:t xml:space="preserve">Strong global presence and diversified client base. </w:t>
      </w:r>
    </w:p>
    <w:p w14:paraId="4C528835" w14:textId="77777777" w:rsidR="00101901" w:rsidRPr="00101901" w:rsidRDefault="00101901" w:rsidP="00101901">
      <w:pPr>
        <w:numPr>
          <w:ilvl w:val="0"/>
          <w:numId w:val="1"/>
        </w:numPr>
      </w:pPr>
      <w:r w:rsidRPr="00101901">
        <w:t xml:space="preserve">Significant exposure to digital transformation and cloud services. </w:t>
      </w:r>
    </w:p>
    <w:p w14:paraId="15402BD4" w14:textId="77777777" w:rsidR="00101901" w:rsidRPr="00101901" w:rsidRDefault="00101901" w:rsidP="00101901">
      <w:pPr>
        <w:numPr>
          <w:ilvl w:val="0"/>
          <w:numId w:val="1"/>
        </w:numPr>
      </w:pPr>
      <w:r w:rsidRPr="00101901">
        <w:t xml:space="preserve">Increasing focus on Artificial Intelligence and AI-led enterprise solutions. </w:t>
      </w:r>
    </w:p>
    <w:p w14:paraId="59DE1DEF" w14:textId="77777777" w:rsidR="00101901" w:rsidRPr="00101901" w:rsidRDefault="00101901" w:rsidP="00101901">
      <w:pPr>
        <w:numPr>
          <w:ilvl w:val="0"/>
          <w:numId w:val="1"/>
        </w:numPr>
      </w:pPr>
      <w:r w:rsidRPr="00101901">
        <w:t xml:space="preserve">Strong profitability and cash-generation capability. </w:t>
      </w:r>
    </w:p>
    <w:p w14:paraId="392F4353" w14:textId="77777777" w:rsidR="00101901" w:rsidRPr="00101901" w:rsidRDefault="00101901" w:rsidP="00101901">
      <w:pPr>
        <w:numPr>
          <w:ilvl w:val="0"/>
          <w:numId w:val="1"/>
        </w:numPr>
      </w:pPr>
      <w:r w:rsidRPr="00101901">
        <w:t xml:space="preserve">Diversification across multiple industry verticals. </w:t>
      </w:r>
    </w:p>
    <w:p w14:paraId="65369766" w14:textId="77777777" w:rsidR="00101901" w:rsidRPr="00101901" w:rsidRDefault="00101901" w:rsidP="00101901">
      <w:pPr>
        <w:numPr>
          <w:ilvl w:val="0"/>
          <w:numId w:val="1"/>
        </w:numPr>
      </w:pPr>
      <w:r w:rsidRPr="00101901">
        <w:t xml:space="preserve">Strong balance-sheet and liquidity position. </w:t>
      </w:r>
    </w:p>
    <w:p w14:paraId="7A5B127F" w14:textId="77777777" w:rsidR="00101901" w:rsidRPr="00101901" w:rsidRDefault="00101901" w:rsidP="00101901">
      <w:r w:rsidRPr="00101901">
        <w:pict w14:anchorId="13DBC104">
          <v:rect id="_x0000_i1031" style="width:0;height:1.5pt" o:hralign="center" o:hrstd="t" o:hr="t" fillcolor="#a0a0a0" stroked="f"/>
        </w:pict>
      </w:r>
    </w:p>
    <w:p w14:paraId="12E1884D" w14:textId="77777777" w:rsidR="00101901" w:rsidRPr="00101901" w:rsidRDefault="00101901" w:rsidP="00101901">
      <w:pPr>
        <w:rPr>
          <w:b/>
          <w:bCs/>
        </w:rPr>
      </w:pPr>
      <w:r w:rsidRPr="00101901">
        <w:rPr>
          <w:b/>
          <w:bCs/>
        </w:rPr>
        <w:t>2. Business Model Analysis</w:t>
      </w:r>
    </w:p>
    <w:p w14:paraId="7136B6AE" w14:textId="77777777" w:rsidR="00101901" w:rsidRPr="00101901" w:rsidRDefault="00101901" w:rsidP="00101901">
      <w:r w:rsidRPr="00101901">
        <w:t xml:space="preserve">Infosys follows a </w:t>
      </w:r>
      <w:r w:rsidRPr="00101901">
        <w:rPr>
          <w:b/>
          <w:bCs/>
        </w:rPr>
        <w:t>B2B technology services and consulting business model</w:t>
      </w:r>
      <w:r w:rsidRPr="00101901">
        <w:t>, where it provides technology solutions, consulting and digital transformation services to corporate and institutional clients globally.</w:t>
      </w:r>
    </w:p>
    <w:p w14:paraId="5B0B20B4" w14:textId="77777777" w:rsidR="00101901" w:rsidRPr="00101901" w:rsidRDefault="00101901" w:rsidP="00101901">
      <w:r w:rsidRPr="00101901">
        <w:t xml:space="preserve">The company's revenue is primarily generated through IT services delivered to clients across industries and geographies. Its major industry verticals include Financial Services, Retail, Communication, Energy &amp; Utilities, Manufacturing, Hi-Tech and Life Sciences. </w:t>
      </w:r>
    </w:p>
    <w:p w14:paraId="54F27E05" w14:textId="77777777" w:rsidR="00101901" w:rsidRPr="00101901" w:rsidRDefault="00101901" w:rsidP="00101901">
      <w:r w:rsidRPr="00101901">
        <w:t>A key feature of Infosys' business model is its focus on long-term client relationships and large transformation programmes. The company combines consulting capabilities with technology implementation, cloud, data, AI and digital services to provide integrated solutions.</w:t>
      </w:r>
    </w:p>
    <w:p w14:paraId="75D95D7B" w14:textId="77777777" w:rsidR="00101901" w:rsidRPr="00101901" w:rsidRDefault="00101901" w:rsidP="00101901">
      <w:pPr>
        <w:rPr>
          <w:b/>
          <w:bCs/>
        </w:rPr>
      </w:pPr>
      <w:r w:rsidRPr="00101901">
        <w:rPr>
          <w:b/>
          <w:bCs/>
        </w:rPr>
        <w:t>Revenue Diversification</w:t>
      </w:r>
    </w:p>
    <w:p w14:paraId="2EE42574" w14:textId="77777777" w:rsidR="00101901" w:rsidRPr="00101901" w:rsidRDefault="00101901" w:rsidP="00101901">
      <w:r w:rsidRPr="00101901">
        <w:lastRenderedPageBreak/>
        <w:t xml:space="preserve">Infosys has a diversified industry portfolio. In FY2025, Financial Services generated approximately </w:t>
      </w:r>
      <w:r w:rsidRPr="00101901">
        <w:rPr>
          <w:b/>
          <w:bCs/>
        </w:rPr>
        <w:t>₹45,175 crore</w:t>
      </w:r>
      <w:r w:rsidRPr="00101901">
        <w:t xml:space="preserve"> of revenue, followed by Manufacturing at </w:t>
      </w:r>
      <w:r w:rsidRPr="00101901">
        <w:rPr>
          <w:b/>
          <w:bCs/>
        </w:rPr>
        <w:t>₹25,207 crore</w:t>
      </w:r>
      <w:r w:rsidRPr="00101901">
        <w:t xml:space="preserve">, Retail at </w:t>
      </w:r>
      <w:r w:rsidRPr="00101901">
        <w:rPr>
          <w:b/>
          <w:bCs/>
        </w:rPr>
        <w:t>₹22,059 crore</w:t>
      </w:r>
      <w:r w:rsidRPr="00101901">
        <w:t xml:space="preserve">, and Energy, Utilities, Resources &amp; Services at </w:t>
      </w:r>
      <w:r w:rsidRPr="00101901">
        <w:rPr>
          <w:b/>
          <w:bCs/>
        </w:rPr>
        <w:t>₹21,710 crore</w:t>
      </w:r>
      <w:r w:rsidRPr="00101901">
        <w:t xml:space="preserve">. This diversification reduces dependence on a single industry and provides multiple sources of growth. </w:t>
      </w:r>
    </w:p>
    <w:p w14:paraId="017DB108" w14:textId="77777777" w:rsidR="00101901" w:rsidRPr="00101901" w:rsidRDefault="00101901" w:rsidP="00101901">
      <w:pPr>
        <w:rPr>
          <w:b/>
          <w:bCs/>
        </w:rPr>
      </w:pPr>
      <w:r w:rsidRPr="00101901">
        <w:rPr>
          <w:b/>
          <w:bCs/>
        </w:rPr>
        <w:t>Business Model Strengths</w:t>
      </w:r>
    </w:p>
    <w:p w14:paraId="4DFD23DF" w14:textId="77777777" w:rsidR="00101901" w:rsidRPr="00101901" w:rsidRDefault="00101901" w:rsidP="00101901">
      <w:r w:rsidRPr="00101901">
        <w:rPr>
          <w:b/>
          <w:bCs/>
        </w:rPr>
        <w:t>1. Recurring client relationships:</w:t>
      </w:r>
      <w:r w:rsidRPr="00101901">
        <w:br/>
        <w:t>Long-term enterprise contracts provide relatively stable revenue visibility.</w:t>
      </w:r>
    </w:p>
    <w:p w14:paraId="0356030D" w14:textId="77777777" w:rsidR="00101901" w:rsidRPr="00101901" w:rsidRDefault="00101901" w:rsidP="00101901">
      <w:r w:rsidRPr="00101901">
        <w:rPr>
          <w:b/>
          <w:bCs/>
        </w:rPr>
        <w:t>2. Global diversification:</w:t>
      </w:r>
      <w:r w:rsidRPr="00101901">
        <w:br/>
        <w:t>Infosys serves clients across international markets, reducing dependence on the Indian domestic market.</w:t>
      </w:r>
    </w:p>
    <w:p w14:paraId="15BFAAEB" w14:textId="77777777" w:rsidR="00101901" w:rsidRPr="00101901" w:rsidRDefault="00101901" w:rsidP="00101901">
      <w:r w:rsidRPr="00101901">
        <w:rPr>
          <w:b/>
          <w:bCs/>
        </w:rPr>
        <w:t>3. High-value digital services:</w:t>
      </w:r>
      <w:r w:rsidRPr="00101901">
        <w:br/>
        <w:t>AI, cloud, data and digital transformation services can support higher-value engagements.</w:t>
      </w:r>
    </w:p>
    <w:p w14:paraId="750CBEC0" w14:textId="77777777" w:rsidR="00101901" w:rsidRPr="00101901" w:rsidRDefault="00101901" w:rsidP="00101901">
      <w:r w:rsidRPr="00101901">
        <w:rPr>
          <w:b/>
          <w:bCs/>
        </w:rPr>
        <w:t>4. Scalable delivery model:</w:t>
      </w:r>
      <w:r w:rsidRPr="00101901">
        <w:br/>
        <w:t>Technology-enabled delivery allows Infosys to serve a large number of global clients efficiently.</w:t>
      </w:r>
    </w:p>
    <w:p w14:paraId="04FED399" w14:textId="77777777" w:rsidR="00101901" w:rsidRPr="00101901" w:rsidRDefault="00101901" w:rsidP="00101901">
      <w:r w:rsidRPr="00101901">
        <w:rPr>
          <w:b/>
          <w:bCs/>
        </w:rPr>
        <w:t>5. Strong cash generation:</w:t>
      </w:r>
      <w:r w:rsidRPr="00101901">
        <w:br/>
        <w:t xml:space="preserve">The company generated </w:t>
      </w:r>
      <w:r w:rsidRPr="00101901">
        <w:rPr>
          <w:b/>
          <w:bCs/>
        </w:rPr>
        <w:t>₹33,097 crore of free cash flow in FY2026</w:t>
      </w:r>
      <w:r w:rsidRPr="00101901">
        <w:t xml:space="preserve">, equivalent to 112.3% of net profit. </w:t>
      </w:r>
    </w:p>
    <w:p w14:paraId="3F085432" w14:textId="77777777" w:rsidR="00101901" w:rsidRPr="00101901" w:rsidRDefault="00101901" w:rsidP="00101901">
      <w:pPr>
        <w:rPr>
          <w:b/>
          <w:bCs/>
        </w:rPr>
      </w:pPr>
      <w:r w:rsidRPr="00101901">
        <w:rPr>
          <w:b/>
          <w:bCs/>
        </w:rPr>
        <w:t>Business Model Risks</w:t>
      </w:r>
    </w:p>
    <w:p w14:paraId="3D92E42C" w14:textId="77777777" w:rsidR="00101901" w:rsidRPr="00101901" w:rsidRDefault="00101901" w:rsidP="00101901">
      <w:r w:rsidRPr="00101901">
        <w:t>The major risks include intense competition in global IT services, dependence on technology spending by enterprises, currency movements, wage inflation, employee attrition and rapid technological changes. The shift toward AI also creates both an opportunity and a risk, as traditional IT services may face disruption while companies invest heavily in AI capabilities.</w:t>
      </w:r>
    </w:p>
    <w:p w14:paraId="3DE20A1D" w14:textId="77777777" w:rsidR="00BD40B4" w:rsidRPr="00BD40B4" w:rsidRDefault="00BD40B4" w:rsidP="00BD40B4">
      <w:pPr>
        <w:rPr>
          <w:b/>
          <w:bCs/>
        </w:rPr>
      </w:pPr>
      <w:r w:rsidRPr="00BD40B4">
        <w:rPr>
          <w:b/>
          <w:bCs/>
        </w:rPr>
        <w:t>3. Historical Financial Statement Analysis</w:t>
      </w:r>
    </w:p>
    <w:p w14:paraId="23AABEA6" w14:textId="77777777" w:rsidR="00BD40B4" w:rsidRPr="00BD40B4" w:rsidRDefault="00BD40B4" w:rsidP="00BD40B4">
      <w:pPr>
        <w:rPr>
          <w:b/>
          <w:bCs/>
        </w:rPr>
      </w:pPr>
      <w:r w:rsidRPr="00BD40B4">
        <w:rPr>
          <w:b/>
          <w:bCs/>
        </w:rPr>
        <w:t>Revenue Performance</w:t>
      </w:r>
    </w:p>
    <w:p w14:paraId="68609E0D" w14:textId="77777777" w:rsidR="00BD40B4" w:rsidRPr="00BD40B4" w:rsidRDefault="00BD40B4" w:rsidP="00BD40B4">
      <w:r w:rsidRPr="00BD40B4">
        <w:t xml:space="preserve">Infosys has demonstrated strong long-term revenue growth over the five-year period from FY2022 to FY2026. Revenue increased from </w:t>
      </w:r>
      <w:r w:rsidRPr="00BD40B4">
        <w:rPr>
          <w:b/>
          <w:bCs/>
        </w:rPr>
        <w:t>₹1,21,641 crore in FY2022 to ₹1,78,650 crore in FY2026</w:t>
      </w:r>
      <w:r w:rsidRPr="00BD40B4">
        <w:t xml:space="preserve">, representing a five-year revenue CAGR of approximately </w:t>
      </w:r>
      <w:r w:rsidRPr="00BD40B4">
        <w:rPr>
          <w:b/>
          <w:bCs/>
        </w:rPr>
        <w:t>12.2%</w:t>
      </w:r>
      <w:r w:rsidRPr="00BD40B4">
        <w:t xml:space="preserve">. </w:t>
      </w:r>
    </w:p>
    <w:p w14:paraId="5D9C37F4" w14:textId="77777777" w:rsidR="00BD40B4" w:rsidRPr="00BD40B4" w:rsidRDefault="00BD40B4" w:rsidP="00BD40B4">
      <w:r w:rsidRPr="00BD40B4">
        <w:t xml:space="preserve">Revenue growth was particularly strong in FY2022 and FY2023, supported by strong demand for digital transformation, cloud and technology services. Growth moderated during FY2024 and FY2025 before improving to </w:t>
      </w:r>
      <w:r w:rsidRPr="00BD40B4">
        <w:rPr>
          <w:b/>
          <w:bCs/>
        </w:rPr>
        <w:t>9.6% in FY2026</w:t>
      </w:r>
      <w:r w:rsidRPr="00BD40B4">
        <w:t xml:space="preserve">. Infosys reported FY2026 revenue of ₹1,78,650 crore compared with ₹1,62,990 crore in FY2025. </w:t>
      </w:r>
    </w:p>
    <w:p w14:paraId="4D1B86AC" w14:textId="77777777" w:rsidR="00BD40B4" w:rsidRPr="00BD40B4" w:rsidRDefault="00BD40B4" w:rsidP="00BD40B4">
      <w:pPr>
        <w:rPr>
          <w:b/>
          <w:bCs/>
        </w:rPr>
      </w:pPr>
      <w:r w:rsidRPr="00BD40B4">
        <w:rPr>
          <w:b/>
          <w:bCs/>
        </w:rPr>
        <w:t>Profitability Performance</w:t>
      </w:r>
    </w:p>
    <w:p w14:paraId="340A5811" w14:textId="77777777" w:rsidR="00BD40B4" w:rsidRPr="00BD40B4" w:rsidRDefault="00BD40B4" w:rsidP="00BD40B4">
      <w:r w:rsidRPr="00BD40B4">
        <w:t xml:space="preserve">Profitability has remained strong throughout the period. Net profit increased from </w:t>
      </w:r>
      <w:r w:rsidRPr="00BD40B4">
        <w:rPr>
          <w:b/>
          <w:bCs/>
        </w:rPr>
        <w:t>₹22,110 crore in FY2022 to ₹29,440 crore in FY2026</w:t>
      </w:r>
      <w:r w:rsidRPr="00BD40B4">
        <w:t xml:space="preserve">, representing a five-year CAGR of approximately </w:t>
      </w:r>
      <w:r w:rsidRPr="00BD40B4">
        <w:rPr>
          <w:b/>
          <w:bCs/>
        </w:rPr>
        <w:t>8.8%</w:t>
      </w:r>
      <w:r w:rsidRPr="00BD40B4">
        <w:t xml:space="preserve">. </w:t>
      </w:r>
    </w:p>
    <w:p w14:paraId="0BE14704" w14:textId="77777777" w:rsidR="00BD40B4" w:rsidRPr="00BD40B4" w:rsidRDefault="00BD40B4" w:rsidP="00BD40B4">
      <w:r w:rsidRPr="00BD40B4">
        <w:t xml:space="preserve">In FY2026, net profit attributable to owners increased by </w:t>
      </w:r>
      <w:r w:rsidRPr="00BD40B4">
        <w:rPr>
          <w:b/>
          <w:bCs/>
        </w:rPr>
        <w:t>10.2% year-on-year</w:t>
      </w:r>
      <w:r w:rsidRPr="00BD40B4">
        <w:t xml:space="preserve">, compared with only 1.8% growth in FY2025. This indicates an improvement in earnings momentum. Basic EPS also increased from ₹64.50 in FY2025 to </w:t>
      </w:r>
      <w:r w:rsidRPr="00BD40B4">
        <w:rPr>
          <w:b/>
          <w:bCs/>
        </w:rPr>
        <w:t>₹71.58 in FY2026</w:t>
      </w:r>
      <w:r w:rsidRPr="00BD40B4">
        <w:t xml:space="preserve">. </w:t>
      </w:r>
    </w:p>
    <w:p w14:paraId="5C6E18D4" w14:textId="77777777" w:rsidR="00BD40B4" w:rsidRPr="00BD40B4" w:rsidRDefault="00BD40B4" w:rsidP="00BD40B4">
      <w:pPr>
        <w:rPr>
          <w:b/>
          <w:bCs/>
        </w:rPr>
      </w:pPr>
      <w:r w:rsidRPr="00BD40B4">
        <w:rPr>
          <w:b/>
          <w:bCs/>
        </w:rPr>
        <w:t>Operating Performance</w:t>
      </w:r>
    </w:p>
    <w:p w14:paraId="06BB5596" w14:textId="77777777" w:rsidR="00BD40B4" w:rsidRPr="00BD40B4" w:rsidRDefault="00BD40B4" w:rsidP="00BD40B4">
      <w:r w:rsidRPr="00BD40B4">
        <w:lastRenderedPageBreak/>
        <w:t xml:space="preserve">Infosys maintained a strong operating margin during the period. In FY2026, operating profit stood at </w:t>
      </w:r>
      <w:r w:rsidRPr="00BD40B4">
        <w:rPr>
          <w:b/>
          <w:bCs/>
        </w:rPr>
        <w:t>₹36,254 crore</w:t>
      </w:r>
      <w:r w:rsidRPr="00BD40B4">
        <w:t xml:space="preserve">, compared with ₹34,424 crore in FY2025. However, the operating margin declined from </w:t>
      </w:r>
      <w:r w:rsidRPr="00BD40B4">
        <w:rPr>
          <w:b/>
          <w:bCs/>
        </w:rPr>
        <w:t>21.1% to 20.3%</w:t>
      </w:r>
      <w:r w:rsidRPr="00BD40B4">
        <w:t xml:space="preserve">. </w:t>
      </w:r>
    </w:p>
    <w:p w14:paraId="5BCF036D" w14:textId="77777777" w:rsidR="00BD40B4" w:rsidRPr="00BD40B4" w:rsidRDefault="00BD40B4" w:rsidP="00BD40B4">
      <w:r w:rsidRPr="00BD40B4">
        <w:t>The decline in margin despite revenue growth indicates some pressure on operating costs. Nevertheless, a 20%+ operating margin demonstrates the company's strong profitability and operating efficiency.</w:t>
      </w:r>
    </w:p>
    <w:p w14:paraId="2FC365AF" w14:textId="77777777" w:rsidR="00BD40B4" w:rsidRPr="00BD40B4" w:rsidRDefault="00BD40B4" w:rsidP="00BD40B4">
      <w:pPr>
        <w:rPr>
          <w:b/>
          <w:bCs/>
        </w:rPr>
      </w:pPr>
      <w:r w:rsidRPr="00BD40B4">
        <w:rPr>
          <w:b/>
          <w:bCs/>
        </w:rPr>
        <w:t>Overall Historical Assessment</w:t>
      </w:r>
    </w:p>
    <w:p w14:paraId="7620B26D" w14:textId="77777777" w:rsidR="00BD40B4" w:rsidRPr="00BD40B4" w:rsidRDefault="00BD40B4" w:rsidP="00BD40B4">
      <w:r w:rsidRPr="00BD40B4">
        <w:t xml:space="preserve">Overall, the historical financial performance indicates that Infosys has achieved </w:t>
      </w:r>
      <w:r w:rsidRPr="00BD40B4">
        <w:rPr>
          <w:b/>
          <w:bCs/>
        </w:rPr>
        <w:t>consistent revenue growth, strong profitability and healthy operating margins</w:t>
      </w:r>
      <w:r w:rsidRPr="00BD40B4">
        <w:t xml:space="preserve">. The five-year revenue CAGR of 12.2% and net profit CAGR of 8.8% demonstrate sustainable long-term financial growth. </w:t>
      </w:r>
    </w:p>
    <w:p w14:paraId="5F6A0737" w14:textId="77777777" w:rsidR="00BD40B4" w:rsidRPr="00BD40B4" w:rsidRDefault="00BD40B4" w:rsidP="00BD40B4">
      <w:r w:rsidRPr="00BD40B4">
        <w:t>The recent improvement in revenue and net profit growth is positive; however, the slight compression in operating margin remains an area to monitor. Overall, the historical financial statements support the view that Infosys is a financially strong company with a relatively stable earnings profile.</w:t>
      </w:r>
    </w:p>
    <w:p w14:paraId="017FA614" w14:textId="77777777" w:rsidR="00466822" w:rsidRPr="00466822" w:rsidRDefault="00466822" w:rsidP="00466822">
      <w:pPr>
        <w:rPr>
          <w:b/>
          <w:bCs/>
        </w:rPr>
      </w:pPr>
      <w:r w:rsidRPr="00466822">
        <w:rPr>
          <w:b/>
          <w:bCs/>
        </w:rPr>
        <w:t>4. Trend Analysis</w:t>
      </w:r>
    </w:p>
    <w:p w14:paraId="1912EB8A" w14:textId="77777777" w:rsidR="00466822" w:rsidRPr="00466822" w:rsidRDefault="00466822" w:rsidP="00466822">
      <w:pPr>
        <w:rPr>
          <w:b/>
          <w:bCs/>
        </w:rPr>
      </w:pPr>
      <w:r w:rsidRPr="00466822">
        <w:rPr>
          <w:b/>
          <w:bCs/>
        </w:rPr>
        <w:t>4.1 Sales Growth Trend</w:t>
      </w:r>
    </w:p>
    <w:p w14:paraId="05E2CF4D" w14:textId="77777777" w:rsidR="00466822" w:rsidRPr="00466822" w:rsidRDefault="00466822" w:rsidP="00466822">
      <w:r w:rsidRPr="00466822">
        <w:t xml:space="preserve">Infosys has maintained a positive long-term revenue growth trajectory, although the rate of growth has varied across individual years. The trend chart shows strong acceleration around FY2022–FY2023, followed by moderation during FY2024. Growth subsequently recovered, reaching approximately </w:t>
      </w:r>
      <w:r w:rsidRPr="00466822">
        <w:rPr>
          <w:b/>
          <w:bCs/>
        </w:rPr>
        <w:t>9.6% in FY2026</w:t>
      </w:r>
      <w:r w:rsidRPr="00466822">
        <w:t xml:space="preserve">. The latest improvement indicates renewed momentum in demand for technology and digital services. Infosys' official FY2026 data also confirms revenue growth of 9.6% year-on-year. </w:t>
      </w:r>
    </w:p>
    <w:p w14:paraId="6937647F" w14:textId="77777777" w:rsidR="00466822" w:rsidRPr="00466822" w:rsidRDefault="00466822" w:rsidP="00466822">
      <w:r w:rsidRPr="00466822">
        <w:rPr>
          <w:b/>
          <w:bCs/>
        </w:rPr>
        <w:t>Interpretation:</w:t>
      </w:r>
      <w:r w:rsidRPr="00466822">
        <w:t xml:space="preserve"> The overall sales trend remains positive, but the fluctuations indicate that Infosys' growth is sensitive to global technology spending and economic conditions.</w:t>
      </w:r>
    </w:p>
    <w:p w14:paraId="0D174215" w14:textId="77777777" w:rsidR="00466822" w:rsidRPr="00466822" w:rsidRDefault="00466822" w:rsidP="00466822">
      <w:pPr>
        <w:rPr>
          <w:b/>
          <w:bCs/>
        </w:rPr>
      </w:pPr>
      <w:r w:rsidRPr="00466822">
        <w:rPr>
          <w:b/>
          <w:bCs/>
        </w:rPr>
        <w:t>4.2 EBITDA Growth Trend</w:t>
      </w:r>
    </w:p>
    <w:p w14:paraId="504EC4A5" w14:textId="77777777" w:rsidR="00466822" w:rsidRPr="00466822" w:rsidRDefault="00466822" w:rsidP="00466822">
      <w:r w:rsidRPr="00466822">
        <w:t>The EBITDA growth chart indicates considerable variation over the historical period. Growth accelerated significantly around FY2021–FY2022 before moderating in subsequent years. The latest period shows a moderate recovery.</w:t>
      </w:r>
    </w:p>
    <w:p w14:paraId="78DABD70" w14:textId="77777777" w:rsidR="00466822" w:rsidRPr="00466822" w:rsidRDefault="00466822" w:rsidP="00466822">
      <w:r w:rsidRPr="00466822">
        <w:rPr>
          <w:b/>
          <w:bCs/>
        </w:rPr>
        <w:t>Interpretation:</w:t>
      </w:r>
      <w:r w:rsidRPr="00466822">
        <w:t xml:space="preserve"> EBITDA growth remains positive, but the moderation after the earlier peak suggests that operating profitability needs to be monitored alongside revenue growth. Official FY2026 results show operating profit increased by </w:t>
      </w:r>
      <w:r w:rsidRPr="00466822">
        <w:rPr>
          <w:b/>
          <w:bCs/>
        </w:rPr>
        <w:t>5.3%</w:t>
      </w:r>
      <w:r w:rsidRPr="00466822">
        <w:t xml:space="preserve">, slower than the 9.6% revenue growth. </w:t>
      </w:r>
    </w:p>
    <w:p w14:paraId="7AA2672C" w14:textId="77777777" w:rsidR="00466822" w:rsidRPr="00466822" w:rsidRDefault="00466822" w:rsidP="00466822">
      <w:pPr>
        <w:rPr>
          <w:b/>
          <w:bCs/>
        </w:rPr>
      </w:pPr>
      <w:r w:rsidRPr="00466822">
        <w:rPr>
          <w:b/>
          <w:bCs/>
        </w:rPr>
        <w:t>4.3 Net Profit Growth Trend</w:t>
      </w:r>
    </w:p>
    <w:p w14:paraId="435CFBFE" w14:textId="77777777" w:rsidR="00466822" w:rsidRPr="00466822" w:rsidRDefault="00466822" w:rsidP="00466822">
      <w:r w:rsidRPr="00466822">
        <w:t xml:space="preserve">Net profit growth has been relatively volatile. The chart shows a strong increase around FY2021, followed by a decline and another recovery in the later years. FY2026 witnessed a significant improvement, with Infosys' net profit attributable to owners increasing by </w:t>
      </w:r>
      <w:r w:rsidRPr="00466822">
        <w:rPr>
          <w:b/>
          <w:bCs/>
        </w:rPr>
        <w:t>10.2% year-on-year</w:t>
      </w:r>
      <w:r w:rsidRPr="00466822">
        <w:t xml:space="preserve">. </w:t>
      </w:r>
    </w:p>
    <w:p w14:paraId="613C2699" w14:textId="77777777" w:rsidR="00466822" w:rsidRPr="00466822" w:rsidRDefault="00466822" w:rsidP="00466822">
      <w:r w:rsidRPr="00466822">
        <w:rPr>
          <w:b/>
          <w:bCs/>
        </w:rPr>
        <w:t>Interpretation:</w:t>
      </w:r>
      <w:r w:rsidRPr="00466822">
        <w:t xml:space="preserve"> Despite fluctuations in annual growth, the long-term profitability trend remains positive. The recent recovery in net profit growth is a positive indicator for earnings momentum.</w:t>
      </w:r>
    </w:p>
    <w:p w14:paraId="5BA1A7ED" w14:textId="77777777" w:rsidR="00466822" w:rsidRPr="00466822" w:rsidRDefault="00466822" w:rsidP="00466822">
      <w:pPr>
        <w:rPr>
          <w:b/>
          <w:bCs/>
        </w:rPr>
      </w:pPr>
      <w:r w:rsidRPr="00466822">
        <w:rPr>
          <w:b/>
          <w:bCs/>
        </w:rPr>
        <w:t>4.4 ROCE Trend</w:t>
      </w:r>
    </w:p>
    <w:p w14:paraId="63B421F6" w14:textId="77777777" w:rsidR="00466822" w:rsidRPr="00466822" w:rsidRDefault="00466822" w:rsidP="00466822">
      <w:r w:rsidRPr="00466822">
        <w:lastRenderedPageBreak/>
        <w:t xml:space="preserve">The ROCE chart shows a strong improvement over the historical period. ROCE increased from approximately </w:t>
      </w:r>
      <w:r w:rsidRPr="00466822">
        <w:rPr>
          <w:b/>
          <w:bCs/>
        </w:rPr>
        <w:t>27% in FY2017 to above 40% in FY2023</w:t>
      </w:r>
      <w:r w:rsidRPr="00466822">
        <w:t xml:space="preserve">, before moderating slightly and recovering to approximately </w:t>
      </w:r>
      <w:r w:rsidRPr="00466822">
        <w:rPr>
          <w:b/>
          <w:bCs/>
        </w:rPr>
        <w:t>41% in FY2026</w:t>
      </w:r>
      <w:r w:rsidRPr="00466822">
        <w:t xml:space="preserve"> in your model.</w:t>
      </w:r>
    </w:p>
    <w:p w14:paraId="1087C5AB" w14:textId="77777777" w:rsidR="00466822" w:rsidRPr="00466822" w:rsidRDefault="00466822" w:rsidP="00466822">
      <w:r w:rsidRPr="00466822">
        <w:rPr>
          <w:b/>
          <w:bCs/>
        </w:rPr>
        <w:t>Interpretation:</w:t>
      </w:r>
      <w:r w:rsidRPr="00466822">
        <w:t xml:space="preserve"> The sustained high ROCE indicates efficient utilisation of capital and strong underlying business economics. This is an important positive factor in the fundamental assessment of Infosys.</w:t>
      </w:r>
    </w:p>
    <w:p w14:paraId="43B6E8CB" w14:textId="77777777" w:rsidR="00466822" w:rsidRPr="00466822" w:rsidRDefault="00466822" w:rsidP="00466822">
      <w:pPr>
        <w:rPr>
          <w:b/>
          <w:bCs/>
        </w:rPr>
      </w:pPr>
      <w:r w:rsidRPr="00466822">
        <w:rPr>
          <w:b/>
          <w:bCs/>
        </w:rPr>
        <w:t>Overall Trend Assessment</w:t>
      </w:r>
    </w:p>
    <w:p w14:paraId="5B0D8C03" w14:textId="77777777" w:rsidR="00466822" w:rsidRPr="00466822" w:rsidRDefault="00466822" w:rsidP="00466822">
      <w:r w:rsidRPr="00466822">
        <w:t xml:space="preserve">Overall, the trend analysis indicates that </w:t>
      </w:r>
      <w:r w:rsidRPr="00466822">
        <w:rPr>
          <w:b/>
          <w:bCs/>
        </w:rPr>
        <w:t>Infosys has maintained strong long-term growth and capital efficiency</w:t>
      </w:r>
      <w:r w:rsidRPr="00466822">
        <w:t xml:space="preserve">, despite fluctuations in annual growth rates. Revenue and earnings growth have recovered in the latest period, while the high ROCE demonstrates efficient use of capital. However, the moderation in operating margins and variability in growth rates remain key factors to monitor. Infosys reported a </w:t>
      </w:r>
      <w:r w:rsidRPr="00466822">
        <w:rPr>
          <w:b/>
          <w:bCs/>
        </w:rPr>
        <w:t>20.3% operating margin in FY2026</w:t>
      </w:r>
      <w:r w:rsidRPr="00466822">
        <w:t>, compared with 21.1% in FY2025.</w:t>
      </w:r>
    </w:p>
    <w:p w14:paraId="5AC7E985" w14:textId="77777777" w:rsidR="005B2D54" w:rsidRPr="005B2D54" w:rsidRDefault="005B2D54" w:rsidP="005B2D54">
      <w:pPr>
        <w:rPr>
          <w:b/>
          <w:bCs/>
        </w:rPr>
      </w:pPr>
      <w:r w:rsidRPr="005B2D54">
        <w:rPr>
          <w:b/>
          <w:bCs/>
        </w:rPr>
        <w:t>5. Ratio Analysis</w:t>
      </w:r>
    </w:p>
    <w:p w14:paraId="425685F5" w14:textId="77777777" w:rsidR="005B2D54" w:rsidRPr="005B2D54" w:rsidRDefault="005B2D54" w:rsidP="005B2D54">
      <w:pPr>
        <w:rPr>
          <w:b/>
          <w:bCs/>
        </w:rPr>
      </w:pPr>
      <w:r w:rsidRPr="005B2D54">
        <w:rPr>
          <w:b/>
          <w:bCs/>
        </w:rPr>
        <w:t>5.1 Liquidity Ratios</w:t>
      </w:r>
    </w:p>
    <w:p w14:paraId="0C5DDE66" w14:textId="77777777" w:rsidR="005B2D54" w:rsidRPr="005B2D54" w:rsidRDefault="005B2D54" w:rsidP="005B2D54">
      <w:r w:rsidRPr="005B2D54">
        <w:t xml:space="preserve">Infosys maintains a strong liquidity position. The </w:t>
      </w:r>
      <w:r w:rsidRPr="005B2D54">
        <w:rPr>
          <w:b/>
          <w:bCs/>
        </w:rPr>
        <w:t>current ratio was 2.0x in FY2026</w:t>
      </w:r>
      <w:r w:rsidRPr="005B2D54">
        <w:t xml:space="preserve">, compared with 2.4x in FY2025. Although liquidity declined slightly, a ratio of 2.0x indicates that the company has sufficient current assets to meet its short-term obligations. </w:t>
      </w:r>
    </w:p>
    <w:p w14:paraId="0829B318" w14:textId="77777777" w:rsidR="005B2D54" w:rsidRPr="005B2D54" w:rsidRDefault="005B2D54" w:rsidP="005B2D54">
      <w:r w:rsidRPr="005B2D54">
        <w:rPr>
          <w:b/>
          <w:bCs/>
        </w:rPr>
        <w:t>Interpretation:</w:t>
      </w:r>
      <w:r w:rsidRPr="005B2D54">
        <w:t xml:space="preserve"> Infosys has adequate short-term financial strength and does not appear to face significant liquidity pressure.</w:t>
      </w:r>
    </w:p>
    <w:p w14:paraId="42C8507F" w14:textId="77777777" w:rsidR="005B2D54" w:rsidRPr="005B2D54" w:rsidRDefault="005B2D54" w:rsidP="005B2D54">
      <w:pPr>
        <w:rPr>
          <w:b/>
          <w:bCs/>
        </w:rPr>
      </w:pPr>
      <w:r w:rsidRPr="005B2D54">
        <w:rPr>
          <w:b/>
          <w:bCs/>
        </w:rPr>
        <w:t>5.2 Solvency Ratios</w:t>
      </w:r>
    </w:p>
    <w:p w14:paraId="19C4FB7F" w14:textId="77777777" w:rsidR="005B2D54" w:rsidRPr="005B2D54" w:rsidRDefault="005B2D54" w:rsidP="005B2D54">
      <w:r w:rsidRPr="005B2D54">
        <w:t xml:space="preserve">Infosys has a very low level of financial leverage. The </w:t>
      </w:r>
      <w:r w:rsidRPr="005B2D54">
        <w:rPr>
          <w:b/>
          <w:bCs/>
        </w:rPr>
        <w:t>debt-equity ratio was approximately 0.0x on a standalone basis and 0.1x on a consolidated basis</w:t>
      </w:r>
      <w:r w:rsidRPr="005B2D54">
        <w:t xml:space="preserve"> in FY2026. The company also reported a strong interest coverage ratio of </w:t>
      </w:r>
      <w:r w:rsidRPr="005B2D54">
        <w:rPr>
          <w:b/>
          <w:bCs/>
        </w:rPr>
        <w:t>97.1x on a consolidated basis</w:t>
      </w:r>
      <w:r w:rsidRPr="005B2D54">
        <w:t xml:space="preserve">. </w:t>
      </w:r>
    </w:p>
    <w:p w14:paraId="34F0E512" w14:textId="77777777" w:rsidR="005B2D54" w:rsidRPr="005B2D54" w:rsidRDefault="005B2D54" w:rsidP="005B2D54">
      <w:r w:rsidRPr="005B2D54">
        <w:rPr>
          <w:b/>
          <w:bCs/>
        </w:rPr>
        <w:t>Interpretation:</w:t>
      </w:r>
      <w:r w:rsidRPr="005B2D54">
        <w:t xml:space="preserve"> The low leverage and high interest coverage indicate a strong solvency position and limited financial risk.</w:t>
      </w:r>
    </w:p>
    <w:p w14:paraId="1890A448" w14:textId="77777777" w:rsidR="005B2D54" w:rsidRPr="005B2D54" w:rsidRDefault="005B2D54" w:rsidP="005B2D54">
      <w:pPr>
        <w:rPr>
          <w:b/>
          <w:bCs/>
        </w:rPr>
      </w:pPr>
      <w:r w:rsidRPr="005B2D54">
        <w:rPr>
          <w:b/>
          <w:bCs/>
        </w:rPr>
        <w:t>5.3 Profitability Ratios</w:t>
      </w:r>
    </w:p>
    <w:p w14:paraId="7FFB0F3B" w14:textId="77777777" w:rsidR="005B2D54" w:rsidRPr="005B2D54" w:rsidRDefault="005B2D54" w:rsidP="005B2D54">
      <w:r w:rsidRPr="005B2D54">
        <w:t xml:space="preserve">Profitability remains one of Infosys' major strengths. The consolidated </w:t>
      </w:r>
      <w:r w:rsidRPr="005B2D54">
        <w:rPr>
          <w:b/>
          <w:bCs/>
        </w:rPr>
        <w:t>net profit margin increased from 16.4% in FY2025 to 16.5% in FY2026</w:t>
      </w:r>
      <w:r w:rsidRPr="005B2D54">
        <w:t xml:space="preserve">, while operating margin was 20.3%. ROE was </w:t>
      </w:r>
      <w:r w:rsidRPr="005B2D54">
        <w:rPr>
          <w:b/>
          <w:bCs/>
        </w:rPr>
        <w:t>31.6%</w:t>
      </w:r>
      <w:r w:rsidRPr="005B2D54">
        <w:t xml:space="preserve">, indicating efficient utilisation of shareholders' capital. </w:t>
      </w:r>
    </w:p>
    <w:p w14:paraId="5D8449A9" w14:textId="77777777" w:rsidR="005B2D54" w:rsidRPr="005B2D54" w:rsidRDefault="005B2D54" w:rsidP="005B2D54">
      <w:r w:rsidRPr="005B2D54">
        <w:rPr>
          <w:b/>
          <w:bCs/>
        </w:rPr>
        <w:t>Interpretation:</w:t>
      </w:r>
      <w:r w:rsidRPr="005B2D54">
        <w:t xml:space="preserve"> Infosys continues to generate strong profits from its revenue base and efficiently utilise shareholder capital.</w:t>
      </w:r>
    </w:p>
    <w:p w14:paraId="370AC2B8" w14:textId="77777777" w:rsidR="005B2D54" w:rsidRPr="005B2D54" w:rsidRDefault="005B2D54" w:rsidP="005B2D54">
      <w:pPr>
        <w:rPr>
          <w:b/>
          <w:bCs/>
        </w:rPr>
      </w:pPr>
      <w:r w:rsidRPr="005B2D54">
        <w:rPr>
          <w:b/>
          <w:bCs/>
        </w:rPr>
        <w:t>5.4 Turnover Ratios</w:t>
      </w:r>
    </w:p>
    <w:p w14:paraId="32DCDD05" w14:textId="77777777" w:rsidR="005B2D54" w:rsidRPr="005B2D54" w:rsidRDefault="005B2D54" w:rsidP="005B2D54">
      <w:r w:rsidRPr="005B2D54">
        <w:t xml:space="preserve">The </w:t>
      </w:r>
      <w:r w:rsidRPr="005B2D54">
        <w:rPr>
          <w:b/>
          <w:bCs/>
        </w:rPr>
        <w:t>trade receivables turnover ratio was 5.2x in FY2026</w:t>
      </w:r>
      <w:r w:rsidRPr="005B2D54">
        <w:t xml:space="preserve">, compared with 5.3x in FY2025. Days Sales Outstanding also improved from </w:t>
      </w:r>
      <w:r w:rsidRPr="005B2D54">
        <w:rPr>
          <w:b/>
          <w:bCs/>
        </w:rPr>
        <w:t>69 days to 67 days</w:t>
      </w:r>
      <w:r w:rsidRPr="005B2D54">
        <w:t xml:space="preserve">, indicating slightly better collection efficiency. Net capital turnover increased from 3.0x to </w:t>
      </w:r>
      <w:r w:rsidRPr="005B2D54">
        <w:rPr>
          <w:b/>
          <w:bCs/>
        </w:rPr>
        <w:t>3.6x</w:t>
      </w:r>
      <w:r w:rsidRPr="005B2D54">
        <w:t xml:space="preserve">. </w:t>
      </w:r>
    </w:p>
    <w:p w14:paraId="5E17C9ED" w14:textId="77777777" w:rsidR="005B2D54" w:rsidRPr="005B2D54" w:rsidRDefault="005B2D54" w:rsidP="005B2D54">
      <w:r w:rsidRPr="005B2D54">
        <w:rPr>
          <w:b/>
          <w:bCs/>
        </w:rPr>
        <w:t>Interpretation:</w:t>
      </w:r>
      <w:r w:rsidRPr="005B2D54">
        <w:t xml:space="preserve"> Working-capital efficiency remains healthy, with the improvement in DSO and net capital turnover being positive indicators.</w:t>
      </w:r>
    </w:p>
    <w:p w14:paraId="51AA8361" w14:textId="77777777" w:rsidR="005B2D54" w:rsidRPr="005B2D54" w:rsidRDefault="005B2D54" w:rsidP="005B2D54">
      <w:pPr>
        <w:rPr>
          <w:b/>
          <w:bCs/>
        </w:rPr>
      </w:pPr>
      <w:r w:rsidRPr="005B2D54">
        <w:rPr>
          <w:b/>
          <w:bCs/>
        </w:rPr>
        <w:t>5.5 Earnings Ratios</w:t>
      </w:r>
    </w:p>
    <w:p w14:paraId="157F0ADD" w14:textId="77777777" w:rsidR="005B2D54" w:rsidRPr="005B2D54" w:rsidRDefault="005B2D54" w:rsidP="005B2D54">
      <w:r w:rsidRPr="005B2D54">
        <w:lastRenderedPageBreak/>
        <w:t xml:space="preserve">Infosys reported </w:t>
      </w:r>
      <w:r w:rsidRPr="005B2D54">
        <w:rPr>
          <w:b/>
          <w:bCs/>
        </w:rPr>
        <w:t>basic EPS of ₹71.58 in FY2026</w:t>
      </w:r>
      <w:r w:rsidRPr="005B2D54">
        <w:t xml:space="preserve">, compared with ₹64.50 in FY2025, representing approximately </w:t>
      </w:r>
      <w:r w:rsidRPr="005B2D54">
        <w:rPr>
          <w:b/>
          <w:bCs/>
        </w:rPr>
        <w:t>11% growth</w:t>
      </w:r>
      <w:r w:rsidRPr="005B2D54">
        <w:t xml:space="preserve">. The company's dividend per share also increased from ₹43 to </w:t>
      </w:r>
      <w:r w:rsidRPr="005B2D54">
        <w:rPr>
          <w:b/>
          <w:bCs/>
        </w:rPr>
        <w:t>₹48</w:t>
      </w:r>
      <w:r w:rsidRPr="005B2D54">
        <w:t xml:space="preserve">. </w:t>
      </w:r>
    </w:p>
    <w:p w14:paraId="45D085F8" w14:textId="77777777" w:rsidR="005B2D54" w:rsidRPr="005B2D54" w:rsidRDefault="005B2D54" w:rsidP="005B2D54">
      <w:r w:rsidRPr="005B2D54">
        <w:rPr>
          <w:b/>
          <w:bCs/>
        </w:rPr>
        <w:t>Interpretation:</w:t>
      </w:r>
      <w:r w:rsidRPr="005B2D54">
        <w:t xml:space="preserve"> Rising EPS demonstrates improving earnings attributable to shareholders, while the increase in dividend reflects strong shareholder-return capacity.</w:t>
      </w:r>
    </w:p>
    <w:p w14:paraId="6BB05215" w14:textId="77777777" w:rsidR="005B2D54" w:rsidRPr="005B2D54" w:rsidRDefault="005B2D54" w:rsidP="005B2D54">
      <w:pPr>
        <w:rPr>
          <w:b/>
          <w:bCs/>
        </w:rPr>
      </w:pPr>
      <w:r w:rsidRPr="005B2D54">
        <w:rPr>
          <w:b/>
          <w:bCs/>
        </w:rPr>
        <w:t>Overall Ratio Assessment</w:t>
      </w:r>
    </w:p>
    <w:p w14:paraId="6649EB69" w14:textId="77777777" w:rsidR="005B2D54" w:rsidRPr="005B2D54" w:rsidRDefault="005B2D54" w:rsidP="005B2D54">
      <w:r w:rsidRPr="005B2D54">
        <w:t xml:space="preserve">Overall, the ratio analysis indicates that Infosys has </w:t>
      </w:r>
      <w:r w:rsidRPr="005B2D54">
        <w:rPr>
          <w:b/>
          <w:bCs/>
        </w:rPr>
        <w:t>strong liquidity, very low leverage, high profitability, efficient capital utilisation and improving earnings</w:t>
      </w:r>
      <w:r w:rsidRPr="005B2D54">
        <w:t xml:space="preserve">. The slight decline in the current ratio and operating margin should be monitored, but the overall financial position remains robust. Infosys' FY2026 results also show </w:t>
      </w:r>
      <w:r w:rsidRPr="005B2D54">
        <w:rPr>
          <w:b/>
          <w:bCs/>
        </w:rPr>
        <w:t>31.6% ROE, 20.3% operating margin and 11% EPS growth</w:t>
      </w:r>
      <w:r w:rsidRPr="005B2D54">
        <w:t>, supporting the company's strong fundamental position.</w:t>
      </w:r>
    </w:p>
    <w:p w14:paraId="6FA5B10B" w14:textId="77777777" w:rsidR="00506B96" w:rsidRPr="00506B96" w:rsidRDefault="00506B96" w:rsidP="00506B96">
      <w:pPr>
        <w:rPr>
          <w:b/>
          <w:bCs/>
        </w:rPr>
      </w:pPr>
      <w:r w:rsidRPr="00506B96">
        <w:rPr>
          <w:b/>
          <w:bCs/>
        </w:rPr>
        <w:t>6. Fundamental Analysis</w:t>
      </w:r>
    </w:p>
    <w:p w14:paraId="4285DDFE" w14:textId="77777777" w:rsidR="00506B96" w:rsidRPr="00506B96" w:rsidRDefault="00506B96" w:rsidP="00506B96">
      <w:pPr>
        <w:rPr>
          <w:b/>
          <w:bCs/>
        </w:rPr>
      </w:pPr>
      <w:r w:rsidRPr="00506B96">
        <w:rPr>
          <w:b/>
          <w:bCs/>
        </w:rPr>
        <w:t>6.1 Growth Drivers</w:t>
      </w:r>
    </w:p>
    <w:p w14:paraId="24A241CD" w14:textId="77777777" w:rsidR="00506B96" w:rsidRPr="00506B96" w:rsidRDefault="00506B96" w:rsidP="00506B96">
      <w:r w:rsidRPr="00506B96">
        <w:t xml:space="preserve">Infosys' long-term growth prospects are supported by the continued adoption of </w:t>
      </w:r>
      <w:r w:rsidRPr="00506B96">
        <w:rPr>
          <w:b/>
          <w:bCs/>
        </w:rPr>
        <w:t>Artificial Intelligence, cloud computing, data analytics and digital transformation</w:t>
      </w:r>
      <w:r w:rsidRPr="00506B96">
        <w:t xml:space="preserve">. The company's FY2026 strategy is explicitly focused on becoming an AI-first business consulting and technology-services provider. Infosys reported that AI-led programmes had been deployed across </w:t>
      </w:r>
      <w:r w:rsidRPr="00506B96">
        <w:rPr>
          <w:b/>
          <w:bCs/>
        </w:rPr>
        <w:t>90% of its top 200 clients</w:t>
      </w:r>
      <w:r w:rsidRPr="00506B96">
        <w:t xml:space="preserve">, indicating increasing enterprise adoption of its AI capabilities. </w:t>
      </w:r>
    </w:p>
    <w:p w14:paraId="7FC317DB" w14:textId="77777777" w:rsidR="00506B96" w:rsidRPr="00506B96" w:rsidRDefault="00506B96" w:rsidP="00506B96">
      <w:r w:rsidRPr="00506B96">
        <w:t xml:space="preserve">The company has also developed platforms such as </w:t>
      </w:r>
      <w:r w:rsidRPr="00506B96">
        <w:rPr>
          <w:b/>
          <w:bCs/>
        </w:rPr>
        <w:t>Infosys Topaz</w:t>
      </w:r>
      <w:r w:rsidRPr="00506B96">
        <w:t xml:space="preserve"> for generative and agentic AI, </w:t>
      </w:r>
      <w:r w:rsidRPr="00506B96">
        <w:rPr>
          <w:b/>
          <w:bCs/>
        </w:rPr>
        <w:t>Infosys Cobalt</w:t>
      </w:r>
      <w:r w:rsidRPr="00506B96">
        <w:t xml:space="preserve"> for cloud transformation and </w:t>
      </w:r>
      <w:r w:rsidRPr="00506B96">
        <w:rPr>
          <w:b/>
          <w:bCs/>
        </w:rPr>
        <w:t>Infosys Aster</w:t>
      </w:r>
      <w:r w:rsidRPr="00506B96">
        <w:t xml:space="preserve"> for AI-enabled marketing. These capabilities provide opportunities to increase wallet share from existing clients and capture new AI-related spending. </w:t>
      </w:r>
    </w:p>
    <w:p w14:paraId="7A772A36" w14:textId="77777777" w:rsidR="00506B96" w:rsidRPr="00506B96" w:rsidRDefault="00506B96" w:rsidP="00506B96">
      <w:pPr>
        <w:rPr>
          <w:b/>
          <w:bCs/>
        </w:rPr>
      </w:pPr>
      <w:r w:rsidRPr="00506B96">
        <w:rPr>
          <w:b/>
          <w:bCs/>
        </w:rPr>
        <w:t>6.2 Competitive Strengths</w:t>
      </w:r>
    </w:p>
    <w:p w14:paraId="489B4AFC" w14:textId="77777777" w:rsidR="00506B96" w:rsidRPr="00506B96" w:rsidRDefault="00506B96" w:rsidP="00506B96">
      <w:pPr>
        <w:numPr>
          <w:ilvl w:val="0"/>
          <w:numId w:val="2"/>
        </w:numPr>
      </w:pPr>
      <w:r w:rsidRPr="00506B96">
        <w:t xml:space="preserve">Strong global brand and more than four decades of experience in enterprise technology. </w:t>
      </w:r>
    </w:p>
    <w:p w14:paraId="089878A5" w14:textId="77777777" w:rsidR="00506B96" w:rsidRPr="00506B96" w:rsidRDefault="00506B96" w:rsidP="00506B96">
      <w:pPr>
        <w:numPr>
          <w:ilvl w:val="0"/>
          <w:numId w:val="2"/>
        </w:numPr>
      </w:pPr>
      <w:r w:rsidRPr="00506B96">
        <w:t xml:space="preserve">Diversified client and industry base. </w:t>
      </w:r>
    </w:p>
    <w:p w14:paraId="5C591646" w14:textId="77777777" w:rsidR="00506B96" w:rsidRPr="00506B96" w:rsidRDefault="00506B96" w:rsidP="00506B96">
      <w:pPr>
        <w:numPr>
          <w:ilvl w:val="0"/>
          <w:numId w:val="2"/>
        </w:numPr>
      </w:pPr>
      <w:r w:rsidRPr="00506B96">
        <w:t xml:space="preserve">Strong capabilities in AI, cloud and digital transformation. </w:t>
      </w:r>
    </w:p>
    <w:p w14:paraId="60B86E71" w14:textId="77777777" w:rsidR="00506B96" w:rsidRPr="00506B96" w:rsidRDefault="00506B96" w:rsidP="00506B96">
      <w:pPr>
        <w:numPr>
          <w:ilvl w:val="0"/>
          <w:numId w:val="2"/>
        </w:numPr>
      </w:pPr>
      <w:r w:rsidRPr="00506B96">
        <w:t xml:space="preserve">High profitability and capital efficiency. </w:t>
      </w:r>
    </w:p>
    <w:p w14:paraId="1E71DE4A" w14:textId="77777777" w:rsidR="00506B96" w:rsidRPr="00506B96" w:rsidRDefault="00506B96" w:rsidP="00506B96">
      <w:pPr>
        <w:numPr>
          <w:ilvl w:val="0"/>
          <w:numId w:val="2"/>
        </w:numPr>
      </w:pPr>
      <w:r w:rsidRPr="00506B96">
        <w:t xml:space="preserve">Strong cash-generation capability. </w:t>
      </w:r>
    </w:p>
    <w:p w14:paraId="11696C51" w14:textId="77777777" w:rsidR="00506B96" w:rsidRPr="00506B96" w:rsidRDefault="00506B96" w:rsidP="00506B96">
      <w:pPr>
        <w:numPr>
          <w:ilvl w:val="0"/>
          <w:numId w:val="2"/>
        </w:numPr>
      </w:pPr>
      <w:r w:rsidRPr="00506B96">
        <w:t xml:space="preserve">Large global talent pool and established delivery infrastructure. </w:t>
      </w:r>
    </w:p>
    <w:p w14:paraId="146D1215" w14:textId="77777777" w:rsidR="00506B96" w:rsidRPr="00506B96" w:rsidRDefault="00506B96" w:rsidP="00506B96">
      <w:r w:rsidRPr="00506B96">
        <w:t xml:space="preserve">Infosys reported </w:t>
      </w:r>
      <w:r w:rsidRPr="00506B96">
        <w:rPr>
          <w:b/>
          <w:bCs/>
        </w:rPr>
        <w:t>₹33,097 crore of free cash flow in FY2026</w:t>
      </w:r>
      <w:r w:rsidRPr="00506B96">
        <w:t xml:space="preserve">, equivalent to 112.3% of net profit, supporting its ability to fund growth and return capital to shareholders. </w:t>
      </w:r>
    </w:p>
    <w:p w14:paraId="375B5B03" w14:textId="77777777" w:rsidR="00506B96" w:rsidRPr="00506B96" w:rsidRDefault="00506B96" w:rsidP="00506B96">
      <w:pPr>
        <w:rPr>
          <w:b/>
          <w:bCs/>
        </w:rPr>
      </w:pPr>
      <w:r w:rsidRPr="00506B96">
        <w:rPr>
          <w:b/>
          <w:bCs/>
        </w:rPr>
        <w:t>6.3 Key Risks</w:t>
      </w:r>
    </w:p>
    <w:p w14:paraId="46BF6273" w14:textId="77777777" w:rsidR="00506B96" w:rsidRPr="00506B96" w:rsidRDefault="00506B96" w:rsidP="00506B96">
      <w:r w:rsidRPr="00506B96">
        <w:rPr>
          <w:b/>
          <w:bCs/>
        </w:rPr>
        <w:t>Intense competition:</w:t>
      </w:r>
      <w:r w:rsidRPr="00506B96">
        <w:t xml:space="preserve"> Infosys operates in a highly competitive global IT-services market, including competition from large technology-services companies and specialised niche players. </w:t>
      </w:r>
    </w:p>
    <w:p w14:paraId="37309FE2" w14:textId="77777777" w:rsidR="00506B96" w:rsidRPr="00506B96" w:rsidRDefault="00506B96" w:rsidP="00506B96">
      <w:r w:rsidRPr="00506B96">
        <w:rPr>
          <w:b/>
          <w:bCs/>
        </w:rPr>
        <w:t>AI disruption:</w:t>
      </w:r>
      <w:r w:rsidRPr="00506B96">
        <w:t xml:space="preserve"> AI creates a significant growth opportunity but can also disrupt traditional IT-services models and reduce demand for certain lower-value services.</w:t>
      </w:r>
    </w:p>
    <w:p w14:paraId="5F726D3A" w14:textId="77777777" w:rsidR="00506B96" w:rsidRPr="00506B96" w:rsidRDefault="00506B96" w:rsidP="00506B96">
      <w:r w:rsidRPr="00506B96">
        <w:rPr>
          <w:b/>
          <w:bCs/>
        </w:rPr>
        <w:t>Macroeconomic uncertainty:</w:t>
      </w:r>
      <w:r w:rsidRPr="00506B96">
        <w:t xml:space="preserve"> Enterprise technology spending can be affected by economic conditions, interest rates and geopolitical developments.</w:t>
      </w:r>
    </w:p>
    <w:p w14:paraId="43D538E4" w14:textId="77777777" w:rsidR="00506B96" w:rsidRPr="00506B96" w:rsidRDefault="00506B96" w:rsidP="00506B96">
      <w:r w:rsidRPr="00506B96">
        <w:rPr>
          <w:b/>
          <w:bCs/>
        </w:rPr>
        <w:lastRenderedPageBreak/>
        <w:t>Talent and wage pressure:</w:t>
      </w:r>
      <w:r w:rsidRPr="00506B96">
        <w:t xml:space="preserve"> The technology-services industry depends heavily on skilled employees, making talent retention, reskilling and wage costs important factors.</w:t>
      </w:r>
    </w:p>
    <w:p w14:paraId="65F44F1A" w14:textId="77777777" w:rsidR="00506B96" w:rsidRPr="00506B96" w:rsidRDefault="00506B96" w:rsidP="00506B96">
      <w:r w:rsidRPr="00506B96">
        <w:rPr>
          <w:b/>
          <w:bCs/>
        </w:rPr>
        <w:t>Regulatory and geopolitical risks:</w:t>
      </w:r>
      <w:r w:rsidRPr="00506B96">
        <w:t xml:space="preserve"> Changes in immigration policies, particularly in major markets, together with cybersecurity and evolving technology regulations can affect operations. </w:t>
      </w:r>
    </w:p>
    <w:p w14:paraId="688B9533" w14:textId="77777777" w:rsidR="00506B96" w:rsidRPr="00506B96" w:rsidRDefault="00506B96" w:rsidP="00506B96">
      <w:pPr>
        <w:rPr>
          <w:b/>
          <w:bCs/>
        </w:rPr>
      </w:pPr>
      <w:r w:rsidRPr="00506B96">
        <w:rPr>
          <w:b/>
          <w:bCs/>
        </w:rPr>
        <w:t>6.4 Fundamental Assessment</w:t>
      </w:r>
    </w:p>
    <w:p w14:paraId="4DE7AFED" w14:textId="77777777" w:rsidR="00506B96" w:rsidRPr="00506B96" w:rsidRDefault="00506B96" w:rsidP="00506B96">
      <w:r w:rsidRPr="00506B96">
        <w:t xml:space="preserve">Overall, Infosys has </w:t>
      </w:r>
      <w:r w:rsidRPr="00506B96">
        <w:rPr>
          <w:b/>
          <w:bCs/>
        </w:rPr>
        <w:t>strong fundamental characteristics</w:t>
      </w:r>
      <w:r w:rsidRPr="00506B96">
        <w:t>, supported by its profitability, low financial leverage, strong cash generation, global client base and increasing exposure to AI-led technology spending. The key challenge is maintaining revenue growth and operating margins while adapting to rapid technological change and intense competition.</w:t>
      </w:r>
    </w:p>
    <w:p w14:paraId="4C54EE3D" w14:textId="77777777" w:rsidR="00506B96" w:rsidRPr="00506B96" w:rsidRDefault="00506B96" w:rsidP="00506B96">
      <w:r w:rsidRPr="00506B96">
        <w:rPr>
          <w:b/>
          <w:bCs/>
        </w:rPr>
        <w:t>Fundamental View: Positive, with moderate growth and execution risks.</w:t>
      </w:r>
    </w:p>
    <w:p w14:paraId="182912F4" w14:textId="77777777" w:rsidR="008066DC" w:rsidRPr="008066DC" w:rsidRDefault="008066DC" w:rsidP="008066DC">
      <w:pPr>
        <w:rPr>
          <w:b/>
          <w:bCs/>
        </w:rPr>
      </w:pPr>
      <w:r w:rsidRPr="008066DC">
        <w:rPr>
          <w:b/>
          <w:bCs/>
        </w:rPr>
        <w:t>7. Shareholding Pattern Analysis</w:t>
      </w:r>
    </w:p>
    <w:p w14:paraId="7AC8C892" w14:textId="77777777" w:rsidR="008066DC" w:rsidRPr="008066DC" w:rsidRDefault="008066DC" w:rsidP="008066DC">
      <w:r w:rsidRPr="008066DC">
        <w:t xml:space="preserve">As of </w:t>
      </w:r>
      <w:r w:rsidRPr="008066DC">
        <w:rPr>
          <w:b/>
          <w:bCs/>
        </w:rPr>
        <w:t>March 31, 2026</w:t>
      </w:r>
      <w:r w:rsidRPr="008066DC">
        <w:t xml:space="preserve">, Infosys had a diversified shareholder base. Promoter and promoter group holdings accounted for </w:t>
      </w:r>
      <w:r w:rsidRPr="008066DC">
        <w:rPr>
          <w:b/>
          <w:bCs/>
        </w:rPr>
        <w:t>13.30%</w:t>
      </w:r>
      <w:r w:rsidRPr="008066DC">
        <w:t xml:space="preserve"> of the company's total shares, while public shareholders held </w:t>
      </w:r>
      <w:r w:rsidRPr="008066DC">
        <w:rPr>
          <w:b/>
          <w:bCs/>
        </w:rPr>
        <w:t>78.97%</w:t>
      </w:r>
      <w:r w:rsidRPr="008066DC">
        <w:t xml:space="preserve">. The remaining </w:t>
      </w:r>
      <w:r w:rsidRPr="008066DC">
        <w:rPr>
          <w:b/>
          <w:bCs/>
        </w:rPr>
        <w:t>7.73%</w:t>
      </w:r>
      <w:r w:rsidRPr="008066DC">
        <w:t xml:space="preserve"> was classified as non-promoter, non-public shareholding, primarily representing custodian/DR holdings and the employee benefit trust. </w:t>
      </w:r>
    </w:p>
    <w:p w14:paraId="10685B6E" w14:textId="09D2B563" w:rsidR="006474A8" w:rsidRDefault="00132627">
      <w:r w:rsidRPr="00132627">
        <w:t>Key Shareholding Categories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53"/>
        <w:gridCol w:w="781"/>
      </w:tblGrid>
      <w:tr w:rsidR="00132627" w:rsidRPr="00132627" w14:paraId="0BF37AD0" w14:textId="77777777">
        <w:trPr>
          <w:tblHeader/>
          <w:tblCellSpacing w:w="15" w:type="dxa"/>
        </w:trPr>
        <w:tc>
          <w:tcPr>
            <w:tcW w:w="0" w:type="auto"/>
            <w:vAlign w:val="center"/>
            <w:hideMark/>
          </w:tcPr>
          <w:p w14:paraId="1E91BAEF" w14:textId="77777777" w:rsidR="00132627" w:rsidRPr="00132627" w:rsidRDefault="00132627" w:rsidP="00132627">
            <w:pPr>
              <w:rPr>
                <w:b/>
                <w:bCs/>
              </w:rPr>
            </w:pPr>
            <w:r w:rsidRPr="00132627">
              <w:rPr>
                <w:b/>
                <w:bCs/>
              </w:rPr>
              <w:t>Shareholder Category</w:t>
            </w:r>
          </w:p>
        </w:tc>
        <w:tc>
          <w:tcPr>
            <w:tcW w:w="0" w:type="auto"/>
            <w:vAlign w:val="center"/>
            <w:hideMark/>
          </w:tcPr>
          <w:p w14:paraId="57BD15A0" w14:textId="77777777" w:rsidR="00132627" w:rsidRPr="00132627" w:rsidRDefault="00132627" w:rsidP="00132627">
            <w:pPr>
              <w:rPr>
                <w:b/>
                <w:bCs/>
              </w:rPr>
            </w:pPr>
            <w:r w:rsidRPr="00132627">
              <w:rPr>
                <w:b/>
                <w:bCs/>
              </w:rPr>
              <w:t>Holding</w:t>
            </w:r>
          </w:p>
        </w:tc>
      </w:tr>
      <w:tr w:rsidR="00132627" w:rsidRPr="00132627" w14:paraId="4224EC3E" w14:textId="77777777">
        <w:trPr>
          <w:tblCellSpacing w:w="15" w:type="dxa"/>
        </w:trPr>
        <w:tc>
          <w:tcPr>
            <w:tcW w:w="0" w:type="auto"/>
            <w:vAlign w:val="center"/>
            <w:hideMark/>
          </w:tcPr>
          <w:p w14:paraId="16BB2F51" w14:textId="77777777" w:rsidR="00132627" w:rsidRPr="00132627" w:rsidRDefault="00132627" w:rsidP="00132627">
            <w:r w:rsidRPr="00132627">
              <w:t>Promoter &amp; Promoter Group</w:t>
            </w:r>
          </w:p>
        </w:tc>
        <w:tc>
          <w:tcPr>
            <w:tcW w:w="0" w:type="auto"/>
            <w:vAlign w:val="center"/>
            <w:hideMark/>
          </w:tcPr>
          <w:p w14:paraId="26130148" w14:textId="77777777" w:rsidR="00132627" w:rsidRPr="00132627" w:rsidRDefault="00132627" w:rsidP="00132627">
            <w:r w:rsidRPr="00132627">
              <w:rPr>
                <w:b/>
                <w:bCs/>
              </w:rPr>
              <w:t>13.30%</w:t>
            </w:r>
          </w:p>
        </w:tc>
      </w:tr>
      <w:tr w:rsidR="00132627" w:rsidRPr="00132627" w14:paraId="3E47B06A" w14:textId="77777777">
        <w:trPr>
          <w:tblCellSpacing w:w="15" w:type="dxa"/>
        </w:trPr>
        <w:tc>
          <w:tcPr>
            <w:tcW w:w="0" w:type="auto"/>
            <w:vAlign w:val="center"/>
            <w:hideMark/>
          </w:tcPr>
          <w:p w14:paraId="1D87CC22" w14:textId="77777777" w:rsidR="00132627" w:rsidRPr="00132627" w:rsidRDefault="00132627" w:rsidP="00132627">
            <w:r w:rsidRPr="00132627">
              <w:t>Public Shareholding</w:t>
            </w:r>
          </w:p>
        </w:tc>
        <w:tc>
          <w:tcPr>
            <w:tcW w:w="0" w:type="auto"/>
            <w:vAlign w:val="center"/>
            <w:hideMark/>
          </w:tcPr>
          <w:p w14:paraId="7DAF045F" w14:textId="77777777" w:rsidR="00132627" w:rsidRPr="00132627" w:rsidRDefault="00132627" w:rsidP="00132627">
            <w:r w:rsidRPr="00132627">
              <w:rPr>
                <w:b/>
                <w:bCs/>
              </w:rPr>
              <w:t>78.97%</w:t>
            </w:r>
          </w:p>
        </w:tc>
      </w:tr>
      <w:tr w:rsidR="00132627" w:rsidRPr="00132627" w14:paraId="2B8CD041" w14:textId="77777777">
        <w:trPr>
          <w:tblCellSpacing w:w="15" w:type="dxa"/>
        </w:trPr>
        <w:tc>
          <w:tcPr>
            <w:tcW w:w="0" w:type="auto"/>
            <w:vAlign w:val="center"/>
            <w:hideMark/>
          </w:tcPr>
          <w:p w14:paraId="5F47AEBE" w14:textId="77777777" w:rsidR="00132627" w:rsidRPr="00132627" w:rsidRDefault="00132627" w:rsidP="00132627">
            <w:r w:rsidRPr="00132627">
              <w:t>Non-Promoter / Non-Public</w:t>
            </w:r>
          </w:p>
        </w:tc>
        <w:tc>
          <w:tcPr>
            <w:tcW w:w="0" w:type="auto"/>
            <w:vAlign w:val="center"/>
            <w:hideMark/>
          </w:tcPr>
          <w:p w14:paraId="5C079FDD" w14:textId="77777777" w:rsidR="00132627" w:rsidRPr="00132627" w:rsidRDefault="00132627" w:rsidP="00132627">
            <w:r w:rsidRPr="00132627">
              <w:rPr>
                <w:b/>
                <w:bCs/>
              </w:rPr>
              <w:t>7.73%</w:t>
            </w:r>
          </w:p>
        </w:tc>
      </w:tr>
      <w:tr w:rsidR="00132627" w:rsidRPr="00132627" w14:paraId="7F8E3C67" w14:textId="77777777">
        <w:trPr>
          <w:tblCellSpacing w:w="15" w:type="dxa"/>
        </w:trPr>
        <w:tc>
          <w:tcPr>
            <w:tcW w:w="0" w:type="auto"/>
            <w:vAlign w:val="center"/>
            <w:hideMark/>
          </w:tcPr>
          <w:p w14:paraId="541E27D3" w14:textId="77777777" w:rsidR="00132627" w:rsidRPr="00132627" w:rsidRDefault="00132627" w:rsidP="00132627">
            <w:r w:rsidRPr="00132627">
              <w:rPr>
                <w:b/>
                <w:bCs/>
              </w:rPr>
              <w:t>Total</w:t>
            </w:r>
          </w:p>
        </w:tc>
        <w:tc>
          <w:tcPr>
            <w:tcW w:w="0" w:type="auto"/>
            <w:vAlign w:val="center"/>
            <w:hideMark/>
          </w:tcPr>
          <w:p w14:paraId="23EABE2B" w14:textId="77777777" w:rsidR="00132627" w:rsidRPr="00132627" w:rsidRDefault="00132627" w:rsidP="00132627">
            <w:r w:rsidRPr="00132627">
              <w:rPr>
                <w:b/>
                <w:bCs/>
              </w:rPr>
              <w:t>100%</w:t>
            </w:r>
          </w:p>
        </w:tc>
      </w:tr>
    </w:tbl>
    <w:p w14:paraId="111D0822" w14:textId="77777777" w:rsidR="00C802F4" w:rsidRPr="00C802F4" w:rsidRDefault="00C802F4" w:rsidP="00C802F4">
      <w:r w:rsidRPr="00C802F4">
        <w:t xml:space="preserve">Within public institutional ownership, </w:t>
      </w:r>
      <w:r w:rsidRPr="00C802F4">
        <w:rPr>
          <w:b/>
          <w:bCs/>
        </w:rPr>
        <w:t>Foreign Portfolio Investors (Category I)</w:t>
      </w:r>
      <w:r w:rsidRPr="00C802F4">
        <w:t xml:space="preserve"> held </w:t>
      </w:r>
      <w:r w:rsidRPr="00C802F4">
        <w:rPr>
          <w:b/>
          <w:bCs/>
        </w:rPr>
        <w:t>25.48%</w:t>
      </w:r>
      <w:r w:rsidRPr="00C802F4">
        <w:t xml:space="preserve">, while mutual funds held </w:t>
      </w:r>
      <w:r w:rsidRPr="00C802F4">
        <w:rPr>
          <w:b/>
          <w:bCs/>
        </w:rPr>
        <w:t>21.73%</w:t>
      </w:r>
      <w:r w:rsidRPr="00C802F4">
        <w:t xml:space="preserve">. Insurance companies held </w:t>
      </w:r>
      <w:r w:rsidRPr="00C802F4">
        <w:rPr>
          <w:b/>
          <w:bCs/>
        </w:rPr>
        <w:t>14.82%</w:t>
      </w:r>
      <w:r w:rsidRPr="00C802F4">
        <w:t xml:space="preserve">. This indicates significant participation from both domestic and foreign institutional investors. </w:t>
      </w:r>
    </w:p>
    <w:p w14:paraId="21CDB4BB" w14:textId="77777777" w:rsidR="00C802F4" w:rsidRPr="00C802F4" w:rsidRDefault="00C802F4" w:rsidP="00C802F4">
      <w:pPr>
        <w:rPr>
          <w:b/>
          <w:bCs/>
        </w:rPr>
      </w:pPr>
      <w:r w:rsidRPr="00C802F4">
        <w:rPr>
          <w:b/>
          <w:bCs/>
        </w:rPr>
        <w:t>Interpretation</w:t>
      </w:r>
    </w:p>
    <w:p w14:paraId="6B9B1C22" w14:textId="77777777" w:rsidR="00C802F4" w:rsidRPr="00C802F4" w:rsidRDefault="00C802F4" w:rsidP="00C802F4">
      <w:r w:rsidRPr="00C802F4">
        <w:t xml:space="preserve">The relatively low promoter holding and high public/institutional ownership indicate a </w:t>
      </w:r>
      <w:r w:rsidRPr="00C802F4">
        <w:rPr>
          <w:b/>
          <w:bCs/>
        </w:rPr>
        <w:t>widely held ownership structure</w:t>
      </w:r>
      <w:r w:rsidRPr="00C802F4">
        <w:t>. Significant FPI and domestic institutional participation provides liquidity and reflects substantial institutional interest in Infosys.</w:t>
      </w:r>
    </w:p>
    <w:p w14:paraId="38933904" w14:textId="77777777" w:rsidR="00C802F4" w:rsidRPr="00C802F4" w:rsidRDefault="00C802F4" w:rsidP="00C802F4">
      <w:r w:rsidRPr="00C802F4">
        <w:t xml:space="preserve">The presence of large institutional investors can also increase market scrutiny and expectations regarding earnings growth, capital allocation and corporate governance. Overall, the shareholding structure appears </w:t>
      </w:r>
      <w:r w:rsidRPr="00C802F4">
        <w:rPr>
          <w:b/>
          <w:bCs/>
        </w:rPr>
        <w:t>diversified and institutionally supported</w:t>
      </w:r>
      <w:r w:rsidRPr="00C802F4">
        <w:t>, which is positive from a governance and liquidity perspective.</w:t>
      </w:r>
    </w:p>
    <w:p w14:paraId="02FF2141" w14:textId="77777777" w:rsidR="00C802F4" w:rsidRPr="00C802F4" w:rsidRDefault="00C802F4" w:rsidP="00C802F4">
      <w:r w:rsidRPr="00C802F4">
        <w:rPr>
          <w:b/>
          <w:bCs/>
        </w:rPr>
        <w:t>Shareholding View: Positive / Diversified Ownership Structure.</w:t>
      </w:r>
    </w:p>
    <w:p w14:paraId="34B077F5" w14:textId="77777777" w:rsidR="00540E8C" w:rsidRPr="00540E8C" w:rsidRDefault="00540E8C" w:rsidP="00540E8C">
      <w:pPr>
        <w:rPr>
          <w:b/>
          <w:bCs/>
        </w:rPr>
      </w:pPr>
      <w:r w:rsidRPr="00540E8C">
        <w:rPr>
          <w:b/>
          <w:bCs/>
        </w:rPr>
        <w:t>8. News &amp; Event Analysis</w:t>
      </w:r>
    </w:p>
    <w:p w14:paraId="70F6BEE1" w14:textId="77777777" w:rsidR="00540E8C" w:rsidRPr="00540E8C" w:rsidRDefault="00540E8C" w:rsidP="00540E8C">
      <w:r w:rsidRPr="00540E8C">
        <w:t xml:space="preserve">FY2026–FY27 </w:t>
      </w:r>
      <w:proofErr w:type="spellStart"/>
      <w:r w:rsidRPr="00540E8C">
        <w:t>ke</w:t>
      </w:r>
      <w:proofErr w:type="spellEnd"/>
      <w:r w:rsidRPr="00540E8C">
        <w:t xml:space="preserve"> important developments:</w:t>
      </w:r>
    </w:p>
    <w:p w14:paraId="4505A584" w14:textId="77777777" w:rsidR="00540E8C" w:rsidRPr="00540E8C" w:rsidRDefault="00540E8C" w:rsidP="00540E8C">
      <w:pPr>
        <w:numPr>
          <w:ilvl w:val="0"/>
          <w:numId w:val="3"/>
        </w:numPr>
      </w:pPr>
      <w:r w:rsidRPr="00540E8C">
        <w:t xml:space="preserve">Infosys ne FY2026 </w:t>
      </w:r>
      <w:proofErr w:type="spellStart"/>
      <w:r w:rsidRPr="00540E8C">
        <w:t>mein</w:t>
      </w:r>
      <w:proofErr w:type="spellEnd"/>
      <w:r w:rsidRPr="00540E8C">
        <w:t xml:space="preserve"> </w:t>
      </w:r>
      <w:r w:rsidRPr="00540E8C">
        <w:rPr>
          <w:b/>
          <w:bCs/>
        </w:rPr>
        <w:t>₹1,78,650 crore revenue</w:t>
      </w:r>
      <w:r w:rsidRPr="00540E8C">
        <w:t xml:space="preserve"> report </w:t>
      </w:r>
      <w:proofErr w:type="spellStart"/>
      <w:r w:rsidRPr="00540E8C">
        <w:t>kiya</w:t>
      </w:r>
      <w:proofErr w:type="spellEnd"/>
      <w:r w:rsidRPr="00540E8C">
        <w:t xml:space="preserve">, with </w:t>
      </w:r>
      <w:r w:rsidRPr="00540E8C">
        <w:rPr>
          <w:b/>
          <w:bCs/>
        </w:rPr>
        <w:t>9.6% YoY growth</w:t>
      </w:r>
      <w:r w:rsidRPr="00540E8C">
        <w:t xml:space="preserve">. </w:t>
      </w:r>
    </w:p>
    <w:p w14:paraId="04AB8276" w14:textId="77777777" w:rsidR="00540E8C" w:rsidRPr="00540E8C" w:rsidRDefault="00540E8C" w:rsidP="00540E8C">
      <w:pPr>
        <w:numPr>
          <w:ilvl w:val="0"/>
          <w:numId w:val="3"/>
        </w:numPr>
      </w:pPr>
      <w:r w:rsidRPr="00540E8C">
        <w:lastRenderedPageBreak/>
        <w:t xml:space="preserve">AI-led programmes ab Infosys </w:t>
      </w:r>
      <w:proofErr w:type="spellStart"/>
      <w:r w:rsidRPr="00540E8C">
        <w:t>ke</w:t>
      </w:r>
      <w:proofErr w:type="spellEnd"/>
      <w:r w:rsidRPr="00540E8C">
        <w:t xml:space="preserve"> </w:t>
      </w:r>
      <w:r w:rsidRPr="00540E8C">
        <w:rPr>
          <w:b/>
          <w:bCs/>
        </w:rPr>
        <w:t xml:space="preserve">top 200 clients </w:t>
      </w:r>
      <w:proofErr w:type="spellStart"/>
      <w:r w:rsidRPr="00540E8C">
        <w:rPr>
          <w:b/>
          <w:bCs/>
        </w:rPr>
        <w:t>mein</w:t>
      </w:r>
      <w:proofErr w:type="spellEnd"/>
      <w:r w:rsidRPr="00540E8C">
        <w:rPr>
          <w:b/>
          <w:bCs/>
        </w:rPr>
        <w:t xml:space="preserve"> 90%</w:t>
      </w:r>
      <w:r w:rsidRPr="00540E8C">
        <w:t xml:space="preserve"> </w:t>
      </w:r>
      <w:proofErr w:type="spellStart"/>
      <w:r w:rsidRPr="00540E8C">
        <w:t>tak</w:t>
      </w:r>
      <w:proofErr w:type="spellEnd"/>
      <w:r w:rsidRPr="00540E8C">
        <w:t xml:space="preserve"> deployed the, showing strong AI adoption. </w:t>
      </w:r>
    </w:p>
    <w:p w14:paraId="42B8A39C" w14:textId="77777777" w:rsidR="00540E8C" w:rsidRPr="00540E8C" w:rsidRDefault="00540E8C" w:rsidP="00540E8C">
      <w:pPr>
        <w:numPr>
          <w:ilvl w:val="0"/>
          <w:numId w:val="3"/>
        </w:numPr>
      </w:pPr>
      <w:r w:rsidRPr="00540E8C">
        <w:t xml:space="preserve">February 2026 </w:t>
      </w:r>
      <w:proofErr w:type="spellStart"/>
      <w:r w:rsidRPr="00540E8C">
        <w:t>mein</w:t>
      </w:r>
      <w:proofErr w:type="spellEnd"/>
      <w:r w:rsidRPr="00540E8C">
        <w:t xml:space="preserve"> </w:t>
      </w:r>
      <w:r w:rsidRPr="00540E8C">
        <w:rPr>
          <w:b/>
          <w:bCs/>
        </w:rPr>
        <w:t>Investor AI Day</w:t>
      </w:r>
      <w:r w:rsidRPr="00540E8C">
        <w:t xml:space="preserve"> conduct </w:t>
      </w:r>
      <w:proofErr w:type="spellStart"/>
      <w:r w:rsidRPr="00540E8C">
        <w:t>kiya</w:t>
      </w:r>
      <w:proofErr w:type="spellEnd"/>
      <w:r w:rsidRPr="00540E8C">
        <w:t xml:space="preserve"> </w:t>
      </w:r>
      <w:proofErr w:type="spellStart"/>
      <w:r w:rsidRPr="00540E8C">
        <w:t>gaya</w:t>
      </w:r>
      <w:proofErr w:type="spellEnd"/>
      <w:r w:rsidRPr="00540E8C">
        <w:t xml:space="preserve">, highlighting the company's AI strategy. </w:t>
      </w:r>
    </w:p>
    <w:p w14:paraId="40698119" w14:textId="77777777" w:rsidR="00540E8C" w:rsidRPr="00540E8C" w:rsidRDefault="00540E8C" w:rsidP="00540E8C">
      <w:pPr>
        <w:numPr>
          <w:ilvl w:val="0"/>
          <w:numId w:val="3"/>
        </w:numPr>
      </w:pPr>
      <w:r w:rsidRPr="00540E8C">
        <w:t xml:space="preserve">FY2026 </w:t>
      </w:r>
      <w:proofErr w:type="spellStart"/>
      <w:r w:rsidRPr="00540E8C">
        <w:t>mein</w:t>
      </w:r>
      <w:proofErr w:type="spellEnd"/>
      <w:r w:rsidRPr="00540E8C">
        <w:t xml:space="preserve"> </w:t>
      </w:r>
      <w:r w:rsidRPr="00540E8C">
        <w:rPr>
          <w:b/>
          <w:bCs/>
        </w:rPr>
        <w:t>₹18,000 crore buyback</w:t>
      </w:r>
      <w:r w:rsidRPr="00540E8C">
        <w:t xml:space="preserve"> ₹1,800/share par complete </w:t>
      </w:r>
      <w:proofErr w:type="spellStart"/>
      <w:r w:rsidRPr="00540E8C">
        <w:t>hua</w:t>
      </w:r>
      <w:proofErr w:type="spellEnd"/>
      <w:r w:rsidRPr="00540E8C">
        <w:t xml:space="preserve">. </w:t>
      </w:r>
    </w:p>
    <w:p w14:paraId="2A8A655D" w14:textId="77777777" w:rsidR="00540E8C" w:rsidRPr="00540E8C" w:rsidRDefault="00540E8C" w:rsidP="00540E8C">
      <w:pPr>
        <w:numPr>
          <w:ilvl w:val="0"/>
          <w:numId w:val="3"/>
        </w:numPr>
      </w:pPr>
      <w:r w:rsidRPr="00540E8C">
        <w:t xml:space="preserve">July 2026 </w:t>
      </w:r>
      <w:proofErr w:type="spellStart"/>
      <w:r w:rsidRPr="00540E8C">
        <w:t>mein</w:t>
      </w:r>
      <w:proofErr w:type="spellEnd"/>
      <w:r w:rsidRPr="00540E8C">
        <w:t xml:space="preserve"> Infosys board ne </w:t>
      </w:r>
      <w:proofErr w:type="spellStart"/>
      <w:r w:rsidRPr="00540E8C">
        <w:rPr>
          <w:b/>
          <w:bCs/>
        </w:rPr>
        <w:t>Ashiss</w:t>
      </w:r>
      <w:proofErr w:type="spellEnd"/>
      <w:r w:rsidRPr="00540E8C">
        <w:rPr>
          <w:b/>
          <w:bCs/>
        </w:rPr>
        <w:t xml:space="preserve"> Kumar Dash ko CEO Designate</w:t>
      </w:r>
      <w:r w:rsidRPr="00540E8C">
        <w:t xml:space="preserve"> appoint </w:t>
      </w:r>
      <w:proofErr w:type="spellStart"/>
      <w:r w:rsidRPr="00540E8C">
        <w:t>kiya</w:t>
      </w:r>
      <w:proofErr w:type="spellEnd"/>
      <w:r w:rsidRPr="00540E8C">
        <w:t xml:space="preserve">, subject to shareholder approval. </w:t>
      </w:r>
    </w:p>
    <w:p w14:paraId="1A5F6CFD" w14:textId="77777777" w:rsidR="00540E8C" w:rsidRPr="00540E8C" w:rsidRDefault="00540E8C" w:rsidP="00540E8C">
      <w:pPr>
        <w:numPr>
          <w:ilvl w:val="0"/>
          <w:numId w:val="3"/>
        </w:numPr>
      </w:pPr>
      <w:r w:rsidRPr="00540E8C">
        <w:t xml:space="preserve">August 2026 </w:t>
      </w:r>
      <w:proofErr w:type="spellStart"/>
      <w:r w:rsidRPr="00540E8C">
        <w:t>mein</w:t>
      </w:r>
      <w:proofErr w:type="spellEnd"/>
      <w:r w:rsidRPr="00540E8C">
        <w:t xml:space="preserve"> Infosys ne </w:t>
      </w:r>
      <w:r w:rsidRPr="00540E8C">
        <w:rPr>
          <w:b/>
          <w:bCs/>
        </w:rPr>
        <w:t xml:space="preserve">Crocs </w:t>
      </w:r>
      <w:proofErr w:type="spellStart"/>
      <w:r w:rsidRPr="00540E8C">
        <w:rPr>
          <w:b/>
          <w:bCs/>
        </w:rPr>
        <w:t>ke</w:t>
      </w:r>
      <w:proofErr w:type="spellEnd"/>
      <w:r w:rsidRPr="00540E8C">
        <w:rPr>
          <w:b/>
          <w:bCs/>
        </w:rPr>
        <w:t xml:space="preserve"> </w:t>
      </w:r>
      <w:proofErr w:type="spellStart"/>
      <w:r w:rsidRPr="00540E8C">
        <w:rPr>
          <w:b/>
          <w:bCs/>
        </w:rPr>
        <w:t>saath</w:t>
      </w:r>
      <w:proofErr w:type="spellEnd"/>
      <w:r w:rsidRPr="00540E8C">
        <w:rPr>
          <w:b/>
          <w:bCs/>
        </w:rPr>
        <w:t xml:space="preserve"> 10-year strategic agreement</w:t>
      </w:r>
      <w:r w:rsidRPr="00540E8C">
        <w:t xml:space="preserve"> announce </w:t>
      </w:r>
      <w:proofErr w:type="spellStart"/>
      <w:r w:rsidRPr="00540E8C">
        <w:t>kiya</w:t>
      </w:r>
      <w:proofErr w:type="spellEnd"/>
      <w:r w:rsidRPr="00540E8C">
        <w:t xml:space="preserve">, supporting long-term digital transformation. </w:t>
      </w:r>
    </w:p>
    <w:p w14:paraId="59E4F555" w14:textId="77777777" w:rsidR="00540E8C" w:rsidRPr="00540E8C" w:rsidRDefault="00540E8C" w:rsidP="00540E8C">
      <w:r w:rsidRPr="00540E8C">
        <w:rPr>
          <w:b/>
          <w:bCs/>
        </w:rPr>
        <w:t>Interpretation:</w:t>
      </w:r>
      <w:r w:rsidRPr="00540E8C">
        <w:t xml:space="preserve"> Recent developments indicate continued focus on AI, digital transformation and large strategic client relationships. However, investors should monitor execution, margins and the pace at which AI-related growth translates into revenue and earnings.</w:t>
      </w:r>
    </w:p>
    <w:p w14:paraId="3FA4AC66" w14:textId="77777777" w:rsidR="00540E8C" w:rsidRPr="00540E8C" w:rsidRDefault="00540E8C" w:rsidP="00540E8C">
      <w:r w:rsidRPr="00540E8C">
        <w:pict w14:anchorId="30F7FCF8">
          <v:rect id="_x0000_i1039" style="width:0;height:1.5pt" o:hralign="center" o:hrstd="t" o:hr="t" fillcolor="#a0a0a0" stroked="f"/>
        </w:pict>
      </w:r>
    </w:p>
    <w:p w14:paraId="2B769BD3" w14:textId="77777777" w:rsidR="00540E8C" w:rsidRPr="00540E8C" w:rsidRDefault="00540E8C" w:rsidP="00540E8C">
      <w:pPr>
        <w:rPr>
          <w:b/>
          <w:bCs/>
        </w:rPr>
      </w:pPr>
      <w:r w:rsidRPr="00540E8C">
        <w:rPr>
          <w:b/>
          <w:bCs/>
        </w:rPr>
        <w:t>9. Overall Business &amp; Financial Assessment</w:t>
      </w:r>
    </w:p>
    <w:p w14:paraId="0044AE2B" w14:textId="77777777" w:rsidR="00540E8C" w:rsidRPr="00540E8C" w:rsidRDefault="00540E8C" w:rsidP="00540E8C">
      <w:r w:rsidRPr="00540E8C">
        <w:t xml:space="preserve">Infosys demonstrates a </w:t>
      </w:r>
      <w:r w:rsidRPr="00540E8C">
        <w:rPr>
          <w:b/>
          <w:bCs/>
        </w:rPr>
        <w:t>strong overall financial and business profile</w:t>
      </w:r>
      <w:r w:rsidRPr="00540E8C">
        <w:t xml:space="preserve">. Historical analysis indicates sustained revenue growth, healthy profitability and strong capital efficiency. The company's FY2026 revenue grew by 9.6%, while ROE stood at 31.6% and free cash flow reached ₹33,097 crore. </w:t>
      </w:r>
    </w:p>
    <w:p w14:paraId="65DA6A28" w14:textId="77777777" w:rsidR="00540E8C" w:rsidRPr="00540E8C" w:rsidRDefault="00540E8C" w:rsidP="00540E8C">
      <w:r w:rsidRPr="00540E8C">
        <w:t>The ratio analysis indicates strong liquidity, low financial leverage, healthy profitability and efficient capital utilisation. The company's increasing focus on AI and cloud provides significant long-term growth opportunities.</w:t>
      </w:r>
    </w:p>
    <w:p w14:paraId="072765C4" w14:textId="77777777" w:rsidR="00540E8C" w:rsidRPr="00540E8C" w:rsidRDefault="00540E8C" w:rsidP="00540E8C">
      <w:r w:rsidRPr="00540E8C">
        <w:t>However, competition in the global IT-services industry, operating-margin pressure, macroeconomic uncertainty and disruption from AI remain important risks.</w:t>
      </w:r>
    </w:p>
    <w:p w14:paraId="0D77BAEA" w14:textId="77777777" w:rsidR="00540E8C" w:rsidRPr="00540E8C" w:rsidRDefault="00540E8C" w:rsidP="00540E8C">
      <w:pPr>
        <w:rPr>
          <w:b/>
          <w:bCs/>
        </w:rPr>
      </w:pPr>
      <w:r w:rsidRPr="00540E8C">
        <w:rPr>
          <w:b/>
          <w:bCs/>
        </w:rPr>
        <w:t>Valuation Conclusion</w:t>
      </w:r>
    </w:p>
    <w:p w14:paraId="454A6B04" w14:textId="77777777" w:rsidR="00540E8C" w:rsidRPr="00540E8C" w:rsidRDefault="00540E8C" w:rsidP="00540E8C">
      <w:r w:rsidRPr="00540E8C">
        <w:t>The DCF model estimates:</w:t>
      </w:r>
    </w:p>
    <w:p w14:paraId="52F84148" w14:textId="77777777" w:rsidR="00540E8C" w:rsidRPr="00540E8C" w:rsidRDefault="00540E8C" w:rsidP="00540E8C">
      <w:pPr>
        <w:numPr>
          <w:ilvl w:val="0"/>
          <w:numId w:val="4"/>
        </w:numPr>
      </w:pPr>
      <w:r w:rsidRPr="00540E8C">
        <w:rPr>
          <w:b/>
          <w:bCs/>
        </w:rPr>
        <w:t>Intrinsic Value:</w:t>
      </w:r>
      <w:r w:rsidRPr="00540E8C">
        <w:t xml:space="preserve"> ₹1,128.51/share </w:t>
      </w:r>
    </w:p>
    <w:p w14:paraId="18ED5647" w14:textId="77777777" w:rsidR="00540E8C" w:rsidRPr="00540E8C" w:rsidRDefault="00540E8C" w:rsidP="00540E8C">
      <w:pPr>
        <w:numPr>
          <w:ilvl w:val="0"/>
          <w:numId w:val="4"/>
        </w:numPr>
      </w:pPr>
      <w:r w:rsidRPr="00540E8C">
        <w:rPr>
          <w:b/>
          <w:bCs/>
        </w:rPr>
        <w:t>Current Market Price:</w:t>
      </w:r>
      <w:r w:rsidRPr="00540E8C">
        <w:t xml:space="preserve"> ₹1,121/share </w:t>
      </w:r>
    </w:p>
    <w:p w14:paraId="6413A394" w14:textId="77777777" w:rsidR="00540E8C" w:rsidRPr="00540E8C" w:rsidRDefault="00540E8C" w:rsidP="00540E8C">
      <w:pPr>
        <w:numPr>
          <w:ilvl w:val="0"/>
          <w:numId w:val="4"/>
        </w:numPr>
      </w:pPr>
      <w:r w:rsidRPr="00540E8C">
        <w:rPr>
          <w:b/>
          <w:bCs/>
        </w:rPr>
        <w:t>Potential Upside:</w:t>
      </w:r>
      <w:r w:rsidRPr="00540E8C">
        <w:t xml:space="preserve"> 0.67% </w:t>
      </w:r>
    </w:p>
    <w:p w14:paraId="60775109" w14:textId="77777777" w:rsidR="00540E8C" w:rsidRPr="00540E8C" w:rsidRDefault="00540E8C" w:rsidP="00540E8C">
      <w:pPr>
        <w:numPr>
          <w:ilvl w:val="0"/>
          <w:numId w:val="4"/>
        </w:numPr>
      </w:pPr>
      <w:r w:rsidRPr="00540E8C">
        <w:rPr>
          <w:b/>
          <w:bCs/>
        </w:rPr>
        <w:t>WACC:</w:t>
      </w:r>
      <w:r w:rsidRPr="00540E8C">
        <w:t xml:space="preserve"> 11.77% </w:t>
      </w:r>
    </w:p>
    <w:p w14:paraId="5C6CB22A" w14:textId="77777777" w:rsidR="00540E8C" w:rsidRPr="00540E8C" w:rsidRDefault="00540E8C" w:rsidP="00540E8C">
      <w:pPr>
        <w:numPr>
          <w:ilvl w:val="0"/>
          <w:numId w:val="4"/>
        </w:numPr>
      </w:pPr>
      <w:r w:rsidRPr="00540E8C">
        <w:rPr>
          <w:b/>
          <w:bCs/>
        </w:rPr>
        <w:t>Terminal Growth:</w:t>
      </w:r>
      <w:r w:rsidRPr="00540E8C">
        <w:t xml:space="preserve"> 3.50% </w:t>
      </w:r>
    </w:p>
    <w:p w14:paraId="50FBE4AD" w14:textId="77777777" w:rsidR="00540E8C" w:rsidRPr="00540E8C" w:rsidRDefault="00540E8C" w:rsidP="00540E8C">
      <w:r w:rsidRPr="00540E8C">
        <w:t xml:space="preserve">Therefore, the stock appears </w:t>
      </w:r>
      <w:r w:rsidRPr="00540E8C">
        <w:rPr>
          <w:b/>
          <w:bCs/>
        </w:rPr>
        <w:t>approximately fairly valued</w:t>
      </w:r>
      <w:r w:rsidRPr="00540E8C">
        <w:t xml:space="preserve"> at the current price. Given the very limited upside and sensitivity of the DCF valuation to WACC and terminal growth assumptions, the appropriate recommendation based on this model is:</w:t>
      </w:r>
    </w:p>
    <w:p w14:paraId="6A809E81" w14:textId="77777777" w:rsidR="00540E8C" w:rsidRPr="00540E8C" w:rsidRDefault="00540E8C" w:rsidP="00540E8C">
      <w:pPr>
        <w:rPr>
          <w:b/>
          <w:bCs/>
        </w:rPr>
      </w:pPr>
      <w:r w:rsidRPr="00540E8C">
        <w:rPr>
          <w:b/>
          <w:bCs/>
        </w:rPr>
        <w:t>HOLD</w:t>
      </w:r>
    </w:p>
    <w:p w14:paraId="16B59D55" w14:textId="77777777" w:rsidR="00EB7475" w:rsidRPr="00EB7475" w:rsidRDefault="00EB7475" w:rsidP="00EB7475">
      <w:pPr>
        <w:rPr>
          <w:b/>
          <w:bCs/>
        </w:rPr>
      </w:pPr>
      <w:r w:rsidRPr="00EB7475">
        <w:rPr>
          <w:b/>
          <w:bCs/>
        </w:rPr>
        <w:t>10. Valuation Summary</w:t>
      </w:r>
    </w:p>
    <w:p w14:paraId="50618DCF" w14:textId="77777777" w:rsidR="00EB7475" w:rsidRPr="00EB7475" w:rsidRDefault="00EB7475" w:rsidP="00EB7475">
      <w:r w:rsidRPr="00EB7475">
        <w:lastRenderedPageBreak/>
        <w:t xml:space="preserve">Infosys has been valued using the </w:t>
      </w:r>
      <w:r w:rsidRPr="00EB7475">
        <w:rPr>
          <w:b/>
          <w:bCs/>
        </w:rPr>
        <w:t>Discounted Cash Flow (DCF) method based on Free Cash Flow to Firm (FCFF)</w:t>
      </w:r>
      <w:r w:rsidRPr="00EB7475">
        <w:t>. The model discounts projected future FCFF using the Weighted Average Cost of Capital (WACC) and estimates terminal value using the perpetual growth method.</w:t>
      </w:r>
    </w:p>
    <w:p w14:paraId="701CB6CC" w14:textId="20565085" w:rsidR="00132627" w:rsidRDefault="00D66789">
      <w:r w:rsidRPr="00D66789">
        <w:t>Key Valuation Assumptions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1"/>
        <w:gridCol w:w="741"/>
      </w:tblGrid>
      <w:tr w:rsidR="00D66789" w:rsidRPr="00D66789" w14:paraId="79A67961" w14:textId="77777777">
        <w:trPr>
          <w:tblHeader/>
          <w:tblCellSpacing w:w="15" w:type="dxa"/>
        </w:trPr>
        <w:tc>
          <w:tcPr>
            <w:tcW w:w="0" w:type="auto"/>
            <w:vAlign w:val="center"/>
            <w:hideMark/>
          </w:tcPr>
          <w:p w14:paraId="7F433BF7" w14:textId="77777777" w:rsidR="00D66789" w:rsidRPr="00D66789" w:rsidRDefault="00D66789" w:rsidP="00D66789">
            <w:pPr>
              <w:rPr>
                <w:b/>
                <w:bCs/>
              </w:rPr>
            </w:pPr>
            <w:r w:rsidRPr="00D66789">
              <w:rPr>
                <w:b/>
                <w:bCs/>
              </w:rPr>
              <w:t>Particular</w:t>
            </w:r>
          </w:p>
        </w:tc>
        <w:tc>
          <w:tcPr>
            <w:tcW w:w="0" w:type="auto"/>
            <w:vAlign w:val="center"/>
            <w:hideMark/>
          </w:tcPr>
          <w:p w14:paraId="51606243" w14:textId="77777777" w:rsidR="00D66789" w:rsidRPr="00D66789" w:rsidRDefault="00D66789" w:rsidP="00D66789">
            <w:pPr>
              <w:rPr>
                <w:b/>
                <w:bCs/>
              </w:rPr>
            </w:pPr>
            <w:r w:rsidRPr="00D66789">
              <w:rPr>
                <w:b/>
                <w:bCs/>
              </w:rPr>
              <w:t>Value</w:t>
            </w:r>
          </w:p>
        </w:tc>
      </w:tr>
      <w:tr w:rsidR="00D66789" w:rsidRPr="00D66789" w14:paraId="1DDD5545" w14:textId="77777777">
        <w:trPr>
          <w:tblCellSpacing w:w="15" w:type="dxa"/>
        </w:trPr>
        <w:tc>
          <w:tcPr>
            <w:tcW w:w="0" w:type="auto"/>
            <w:vAlign w:val="center"/>
            <w:hideMark/>
          </w:tcPr>
          <w:p w14:paraId="028B84AA" w14:textId="77777777" w:rsidR="00D66789" w:rsidRPr="00D66789" w:rsidRDefault="00D66789" w:rsidP="00D66789">
            <w:r w:rsidRPr="00D66789">
              <w:t>Risk-Free Rate</w:t>
            </w:r>
          </w:p>
        </w:tc>
        <w:tc>
          <w:tcPr>
            <w:tcW w:w="0" w:type="auto"/>
            <w:vAlign w:val="center"/>
            <w:hideMark/>
          </w:tcPr>
          <w:p w14:paraId="3D6D1C24" w14:textId="77777777" w:rsidR="00D66789" w:rsidRPr="00D66789" w:rsidRDefault="00D66789" w:rsidP="00D66789">
            <w:r w:rsidRPr="00D66789">
              <w:t>6.85%</w:t>
            </w:r>
          </w:p>
        </w:tc>
      </w:tr>
      <w:tr w:rsidR="00D66789" w:rsidRPr="00D66789" w14:paraId="10035C07" w14:textId="77777777">
        <w:trPr>
          <w:tblCellSpacing w:w="15" w:type="dxa"/>
        </w:trPr>
        <w:tc>
          <w:tcPr>
            <w:tcW w:w="0" w:type="auto"/>
            <w:vAlign w:val="center"/>
            <w:hideMark/>
          </w:tcPr>
          <w:p w14:paraId="4F1CE76C" w14:textId="77777777" w:rsidR="00D66789" w:rsidRPr="00D66789" w:rsidRDefault="00D66789" w:rsidP="00D66789">
            <w:r w:rsidRPr="00D66789">
              <w:t>Beta</w:t>
            </w:r>
          </w:p>
        </w:tc>
        <w:tc>
          <w:tcPr>
            <w:tcW w:w="0" w:type="auto"/>
            <w:vAlign w:val="center"/>
            <w:hideMark/>
          </w:tcPr>
          <w:p w14:paraId="22E6EC48" w14:textId="77777777" w:rsidR="00D66789" w:rsidRPr="00D66789" w:rsidRDefault="00D66789" w:rsidP="00D66789">
            <w:r w:rsidRPr="00D66789">
              <w:t>0.70</w:t>
            </w:r>
          </w:p>
        </w:tc>
      </w:tr>
      <w:tr w:rsidR="00D66789" w:rsidRPr="00D66789" w14:paraId="2D9DB8D6" w14:textId="77777777">
        <w:trPr>
          <w:tblCellSpacing w:w="15" w:type="dxa"/>
        </w:trPr>
        <w:tc>
          <w:tcPr>
            <w:tcW w:w="0" w:type="auto"/>
            <w:vAlign w:val="center"/>
            <w:hideMark/>
          </w:tcPr>
          <w:p w14:paraId="6BEE3229" w14:textId="77777777" w:rsidR="00D66789" w:rsidRPr="00D66789" w:rsidRDefault="00D66789" w:rsidP="00D66789">
            <w:r w:rsidRPr="00D66789">
              <w:t>Cost of Equity</w:t>
            </w:r>
          </w:p>
        </w:tc>
        <w:tc>
          <w:tcPr>
            <w:tcW w:w="0" w:type="auto"/>
            <w:vAlign w:val="center"/>
            <w:hideMark/>
          </w:tcPr>
          <w:p w14:paraId="2C0742E3" w14:textId="77777777" w:rsidR="00D66789" w:rsidRPr="00D66789" w:rsidRDefault="00D66789" w:rsidP="00D66789">
            <w:r w:rsidRPr="00D66789">
              <w:t>11.94%</w:t>
            </w:r>
          </w:p>
        </w:tc>
      </w:tr>
      <w:tr w:rsidR="00D66789" w:rsidRPr="00D66789" w14:paraId="1255CFF7" w14:textId="77777777">
        <w:trPr>
          <w:tblCellSpacing w:w="15" w:type="dxa"/>
        </w:trPr>
        <w:tc>
          <w:tcPr>
            <w:tcW w:w="0" w:type="auto"/>
            <w:vAlign w:val="center"/>
            <w:hideMark/>
          </w:tcPr>
          <w:p w14:paraId="16C8B054" w14:textId="77777777" w:rsidR="00D66789" w:rsidRPr="00D66789" w:rsidRDefault="00D66789" w:rsidP="00D66789">
            <w:r w:rsidRPr="00D66789">
              <w:t>After-Tax Cost of Debt</w:t>
            </w:r>
          </w:p>
        </w:tc>
        <w:tc>
          <w:tcPr>
            <w:tcW w:w="0" w:type="auto"/>
            <w:vAlign w:val="center"/>
            <w:hideMark/>
          </w:tcPr>
          <w:p w14:paraId="2C213E0A" w14:textId="77777777" w:rsidR="00D66789" w:rsidRPr="00D66789" w:rsidRDefault="00D66789" w:rsidP="00D66789">
            <w:r w:rsidRPr="00D66789">
              <w:t>3.37%</w:t>
            </w:r>
          </w:p>
        </w:tc>
      </w:tr>
      <w:tr w:rsidR="00D66789" w:rsidRPr="00D66789" w14:paraId="7A7746FD" w14:textId="77777777">
        <w:trPr>
          <w:tblCellSpacing w:w="15" w:type="dxa"/>
        </w:trPr>
        <w:tc>
          <w:tcPr>
            <w:tcW w:w="0" w:type="auto"/>
            <w:vAlign w:val="center"/>
            <w:hideMark/>
          </w:tcPr>
          <w:p w14:paraId="0117F167" w14:textId="77777777" w:rsidR="00D66789" w:rsidRPr="00D66789" w:rsidRDefault="00D66789" w:rsidP="00D66789">
            <w:r w:rsidRPr="00D66789">
              <w:rPr>
                <w:b/>
                <w:bCs/>
              </w:rPr>
              <w:t>WACC</w:t>
            </w:r>
          </w:p>
        </w:tc>
        <w:tc>
          <w:tcPr>
            <w:tcW w:w="0" w:type="auto"/>
            <w:vAlign w:val="center"/>
            <w:hideMark/>
          </w:tcPr>
          <w:p w14:paraId="0E94B884" w14:textId="77777777" w:rsidR="00D66789" w:rsidRPr="00D66789" w:rsidRDefault="00D66789" w:rsidP="00D66789">
            <w:r w:rsidRPr="00D66789">
              <w:rPr>
                <w:b/>
                <w:bCs/>
              </w:rPr>
              <w:t>11.77%</w:t>
            </w:r>
          </w:p>
        </w:tc>
      </w:tr>
      <w:tr w:rsidR="00D66789" w:rsidRPr="00D66789" w14:paraId="5B17B93D" w14:textId="77777777">
        <w:trPr>
          <w:tblCellSpacing w:w="15" w:type="dxa"/>
        </w:trPr>
        <w:tc>
          <w:tcPr>
            <w:tcW w:w="0" w:type="auto"/>
            <w:vAlign w:val="center"/>
            <w:hideMark/>
          </w:tcPr>
          <w:p w14:paraId="4CEB559A" w14:textId="77777777" w:rsidR="00D66789" w:rsidRPr="00D66789" w:rsidRDefault="00D66789" w:rsidP="00D66789">
            <w:r w:rsidRPr="00D66789">
              <w:rPr>
                <w:b/>
                <w:bCs/>
              </w:rPr>
              <w:t>Terminal Growth Rate</w:t>
            </w:r>
          </w:p>
        </w:tc>
        <w:tc>
          <w:tcPr>
            <w:tcW w:w="0" w:type="auto"/>
            <w:vAlign w:val="center"/>
            <w:hideMark/>
          </w:tcPr>
          <w:p w14:paraId="7B3FD693" w14:textId="77777777" w:rsidR="00D66789" w:rsidRPr="00D66789" w:rsidRDefault="00D66789" w:rsidP="00D66789">
            <w:r w:rsidRPr="00D66789">
              <w:rPr>
                <w:b/>
                <w:bCs/>
              </w:rPr>
              <w:t>3.50%</w:t>
            </w:r>
          </w:p>
        </w:tc>
      </w:tr>
    </w:tbl>
    <w:p w14:paraId="754E4A02" w14:textId="41A32EF7" w:rsidR="00D66789" w:rsidRDefault="00D66789">
      <w:r w:rsidRPr="00D66789">
        <w:t>Valuation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7"/>
        <w:gridCol w:w="1214"/>
      </w:tblGrid>
      <w:tr w:rsidR="00BC7A52" w:rsidRPr="00BC7A52" w14:paraId="17B615FC" w14:textId="77777777">
        <w:trPr>
          <w:tblHeader/>
          <w:tblCellSpacing w:w="15" w:type="dxa"/>
        </w:trPr>
        <w:tc>
          <w:tcPr>
            <w:tcW w:w="0" w:type="auto"/>
            <w:vAlign w:val="center"/>
            <w:hideMark/>
          </w:tcPr>
          <w:p w14:paraId="5A1FED1A" w14:textId="77777777" w:rsidR="00BC7A52" w:rsidRPr="00BC7A52" w:rsidRDefault="00BC7A52" w:rsidP="00BC7A52">
            <w:pPr>
              <w:rPr>
                <w:b/>
                <w:bCs/>
              </w:rPr>
            </w:pPr>
            <w:r w:rsidRPr="00BC7A52">
              <w:rPr>
                <w:b/>
                <w:bCs/>
              </w:rPr>
              <w:t>Metric</w:t>
            </w:r>
          </w:p>
        </w:tc>
        <w:tc>
          <w:tcPr>
            <w:tcW w:w="0" w:type="auto"/>
            <w:vAlign w:val="center"/>
            <w:hideMark/>
          </w:tcPr>
          <w:p w14:paraId="15D7ED44" w14:textId="77777777" w:rsidR="00BC7A52" w:rsidRPr="00BC7A52" w:rsidRDefault="00BC7A52" w:rsidP="00BC7A52">
            <w:pPr>
              <w:rPr>
                <w:b/>
                <w:bCs/>
              </w:rPr>
            </w:pPr>
            <w:r w:rsidRPr="00BC7A52">
              <w:rPr>
                <w:b/>
                <w:bCs/>
              </w:rPr>
              <w:t>Value</w:t>
            </w:r>
          </w:p>
        </w:tc>
      </w:tr>
      <w:tr w:rsidR="00BC7A52" w:rsidRPr="00BC7A52" w14:paraId="131CD09E" w14:textId="77777777">
        <w:trPr>
          <w:tblCellSpacing w:w="15" w:type="dxa"/>
        </w:trPr>
        <w:tc>
          <w:tcPr>
            <w:tcW w:w="0" w:type="auto"/>
            <w:vAlign w:val="center"/>
            <w:hideMark/>
          </w:tcPr>
          <w:p w14:paraId="3F761494" w14:textId="77777777" w:rsidR="00BC7A52" w:rsidRPr="00BC7A52" w:rsidRDefault="00BC7A52" w:rsidP="00BC7A52">
            <w:r w:rsidRPr="00BC7A52">
              <w:t>Enterprise Value</w:t>
            </w:r>
          </w:p>
        </w:tc>
        <w:tc>
          <w:tcPr>
            <w:tcW w:w="0" w:type="auto"/>
            <w:vAlign w:val="center"/>
            <w:hideMark/>
          </w:tcPr>
          <w:p w14:paraId="300035CD" w14:textId="77777777" w:rsidR="00BC7A52" w:rsidRPr="00BC7A52" w:rsidRDefault="00BC7A52" w:rsidP="00BC7A52">
            <w:r w:rsidRPr="00BC7A52">
              <w:rPr>
                <w:b/>
                <w:bCs/>
              </w:rPr>
              <w:t>₹4,44,652 Cr</w:t>
            </w:r>
          </w:p>
        </w:tc>
      </w:tr>
      <w:tr w:rsidR="00BC7A52" w:rsidRPr="00BC7A52" w14:paraId="2F0894DD" w14:textId="77777777">
        <w:trPr>
          <w:tblCellSpacing w:w="15" w:type="dxa"/>
        </w:trPr>
        <w:tc>
          <w:tcPr>
            <w:tcW w:w="0" w:type="auto"/>
            <w:vAlign w:val="center"/>
            <w:hideMark/>
          </w:tcPr>
          <w:p w14:paraId="537BFA64" w14:textId="77777777" w:rsidR="00BC7A52" w:rsidRPr="00BC7A52" w:rsidRDefault="00BC7A52" w:rsidP="00BC7A52">
            <w:r w:rsidRPr="00BC7A52">
              <w:t>Equity Value</w:t>
            </w:r>
          </w:p>
        </w:tc>
        <w:tc>
          <w:tcPr>
            <w:tcW w:w="0" w:type="auto"/>
            <w:vAlign w:val="center"/>
            <w:hideMark/>
          </w:tcPr>
          <w:p w14:paraId="5641A29F" w14:textId="77777777" w:rsidR="00BC7A52" w:rsidRPr="00BC7A52" w:rsidRDefault="00BC7A52" w:rsidP="00BC7A52">
            <w:r w:rsidRPr="00BC7A52">
              <w:rPr>
                <w:b/>
                <w:bCs/>
              </w:rPr>
              <w:t>₹4,57,677 Cr</w:t>
            </w:r>
          </w:p>
        </w:tc>
      </w:tr>
      <w:tr w:rsidR="00BC7A52" w:rsidRPr="00BC7A52" w14:paraId="2EF9A5A6" w14:textId="77777777">
        <w:trPr>
          <w:tblCellSpacing w:w="15" w:type="dxa"/>
        </w:trPr>
        <w:tc>
          <w:tcPr>
            <w:tcW w:w="0" w:type="auto"/>
            <w:vAlign w:val="center"/>
            <w:hideMark/>
          </w:tcPr>
          <w:p w14:paraId="7743B9B9" w14:textId="77777777" w:rsidR="00BC7A52" w:rsidRPr="00BC7A52" w:rsidRDefault="00BC7A52" w:rsidP="00BC7A52">
            <w:r w:rsidRPr="00BC7A52">
              <w:t>Intrinsic Value per Share</w:t>
            </w:r>
          </w:p>
        </w:tc>
        <w:tc>
          <w:tcPr>
            <w:tcW w:w="0" w:type="auto"/>
            <w:vAlign w:val="center"/>
            <w:hideMark/>
          </w:tcPr>
          <w:p w14:paraId="7C38ED6F" w14:textId="77777777" w:rsidR="00BC7A52" w:rsidRPr="00BC7A52" w:rsidRDefault="00BC7A52" w:rsidP="00BC7A52">
            <w:r w:rsidRPr="00BC7A52">
              <w:rPr>
                <w:b/>
                <w:bCs/>
              </w:rPr>
              <w:t>₹1,128.51</w:t>
            </w:r>
          </w:p>
        </w:tc>
      </w:tr>
      <w:tr w:rsidR="00BC7A52" w:rsidRPr="00BC7A52" w14:paraId="6B0F4BEB" w14:textId="77777777">
        <w:trPr>
          <w:tblCellSpacing w:w="15" w:type="dxa"/>
        </w:trPr>
        <w:tc>
          <w:tcPr>
            <w:tcW w:w="0" w:type="auto"/>
            <w:vAlign w:val="center"/>
            <w:hideMark/>
          </w:tcPr>
          <w:p w14:paraId="3A54A18E" w14:textId="77777777" w:rsidR="00BC7A52" w:rsidRPr="00BC7A52" w:rsidRDefault="00BC7A52" w:rsidP="00BC7A52">
            <w:r w:rsidRPr="00BC7A52">
              <w:t>Market Price</w:t>
            </w:r>
          </w:p>
        </w:tc>
        <w:tc>
          <w:tcPr>
            <w:tcW w:w="0" w:type="auto"/>
            <w:vAlign w:val="center"/>
            <w:hideMark/>
          </w:tcPr>
          <w:p w14:paraId="5BC68CAA" w14:textId="77777777" w:rsidR="00BC7A52" w:rsidRPr="00BC7A52" w:rsidRDefault="00BC7A52" w:rsidP="00BC7A52">
            <w:r w:rsidRPr="00BC7A52">
              <w:rPr>
                <w:b/>
                <w:bCs/>
              </w:rPr>
              <w:t>₹1,121.00</w:t>
            </w:r>
          </w:p>
        </w:tc>
      </w:tr>
      <w:tr w:rsidR="00BC7A52" w:rsidRPr="00BC7A52" w14:paraId="10721E3D" w14:textId="77777777">
        <w:trPr>
          <w:tblCellSpacing w:w="15" w:type="dxa"/>
        </w:trPr>
        <w:tc>
          <w:tcPr>
            <w:tcW w:w="0" w:type="auto"/>
            <w:vAlign w:val="center"/>
            <w:hideMark/>
          </w:tcPr>
          <w:p w14:paraId="44E0615E" w14:textId="77777777" w:rsidR="00BC7A52" w:rsidRPr="00BC7A52" w:rsidRDefault="00BC7A52" w:rsidP="00BC7A52">
            <w:r w:rsidRPr="00BC7A52">
              <w:t>Potential Upside</w:t>
            </w:r>
          </w:p>
        </w:tc>
        <w:tc>
          <w:tcPr>
            <w:tcW w:w="0" w:type="auto"/>
            <w:vAlign w:val="center"/>
            <w:hideMark/>
          </w:tcPr>
          <w:p w14:paraId="6F043BAC" w14:textId="77777777" w:rsidR="00BC7A52" w:rsidRPr="00BC7A52" w:rsidRDefault="00BC7A52" w:rsidP="00BC7A52">
            <w:r w:rsidRPr="00BC7A52">
              <w:rPr>
                <w:b/>
                <w:bCs/>
              </w:rPr>
              <w:t>0.67%</w:t>
            </w:r>
          </w:p>
        </w:tc>
      </w:tr>
    </w:tbl>
    <w:p w14:paraId="5607614C" w14:textId="77777777" w:rsidR="00BC7A52" w:rsidRPr="00BC7A52" w:rsidRDefault="00BC7A52" w:rsidP="00BC7A52">
      <w:r w:rsidRPr="00BC7A52">
        <w:t>The DCF model indicates that Infosys is approximately fairly valued at the current market price. The estimated intrinsic value of ₹1,128.51 per share provides only a marginal upside of 0.67%. The sensitivity analysis also demonstrates that the valuation is dependent on changes in WACC and terminal growth assumptions.</w:t>
      </w:r>
    </w:p>
    <w:p w14:paraId="742C8E60" w14:textId="77777777" w:rsidR="00BC7A52" w:rsidRPr="00BC7A52" w:rsidRDefault="00BC7A52" w:rsidP="00BC7A52">
      <w:r w:rsidRPr="00BC7A52">
        <w:pict w14:anchorId="37F8920A">
          <v:rect id="_x0000_i1047" style="width:0;height:1.5pt" o:hralign="center" o:hrstd="t" o:hr="t" fillcolor="#a0a0a0" stroked="f"/>
        </w:pict>
      </w:r>
    </w:p>
    <w:p w14:paraId="6C5EFD0C" w14:textId="77777777" w:rsidR="00BC7A52" w:rsidRPr="00BC7A52" w:rsidRDefault="00BC7A52" w:rsidP="00BC7A52">
      <w:pPr>
        <w:rPr>
          <w:b/>
          <w:bCs/>
        </w:rPr>
      </w:pPr>
      <w:r w:rsidRPr="00BC7A52">
        <w:rPr>
          <w:b/>
          <w:bCs/>
        </w:rPr>
        <w:t>11. Investment Recommendation</w:t>
      </w:r>
    </w:p>
    <w:p w14:paraId="131E9F16" w14:textId="77777777" w:rsidR="00BC7A52" w:rsidRPr="00BC7A52" w:rsidRDefault="00BC7A52" w:rsidP="00BC7A52">
      <w:pPr>
        <w:rPr>
          <w:b/>
          <w:bCs/>
        </w:rPr>
      </w:pPr>
      <w:r w:rsidRPr="00BC7A52">
        <w:rPr>
          <w:b/>
          <w:bCs/>
        </w:rPr>
        <w:t>Recommendation: HOLD</w:t>
      </w:r>
    </w:p>
    <w:p w14:paraId="18C9CDDC" w14:textId="77777777" w:rsidR="00BC7A52" w:rsidRPr="00BC7A52" w:rsidRDefault="00BC7A52" w:rsidP="00BC7A52">
      <w:r w:rsidRPr="00BC7A52">
        <w:t xml:space="preserve">Based on the financial analysis and DCF valuation, </w:t>
      </w:r>
      <w:r w:rsidRPr="00BC7A52">
        <w:rPr>
          <w:b/>
          <w:bCs/>
        </w:rPr>
        <w:t>Infosys is recommended as a HOLD</w:t>
      </w:r>
      <w:r w:rsidRPr="00BC7A52">
        <w:t xml:space="preserve"> at the current valuation.</w:t>
      </w:r>
    </w:p>
    <w:p w14:paraId="10EB339C" w14:textId="77777777" w:rsidR="00BC7A52" w:rsidRPr="00BC7A52" w:rsidRDefault="00BC7A52" w:rsidP="00BC7A52">
      <w:pPr>
        <w:rPr>
          <w:b/>
          <w:bCs/>
        </w:rPr>
      </w:pPr>
      <w:r w:rsidRPr="00BC7A52">
        <w:rPr>
          <w:b/>
          <w:bCs/>
        </w:rPr>
        <w:t>Investment Thesis</w:t>
      </w:r>
    </w:p>
    <w:p w14:paraId="2A27B47A" w14:textId="77777777" w:rsidR="00BC7A52" w:rsidRPr="00BC7A52" w:rsidRDefault="00BC7A52" w:rsidP="00BC7A52">
      <w:r w:rsidRPr="00BC7A52">
        <w:rPr>
          <w:b/>
          <w:bCs/>
        </w:rPr>
        <w:t>Positive Factors</w:t>
      </w:r>
    </w:p>
    <w:p w14:paraId="504366C4" w14:textId="77777777" w:rsidR="00BC7A52" w:rsidRPr="00BC7A52" w:rsidRDefault="00BC7A52" w:rsidP="00BC7A52">
      <w:pPr>
        <w:numPr>
          <w:ilvl w:val="0"/>
          <w:numId w:val="5"/>
        </w:numPr>
      </w:pPr>
      <w:r w:rsidRPr="00BC7A52">
        <w:t xml:space="preserve">Strong historical revenue and earnings growth. </w:t>
      </w:r>
    </w:p>
    <w:p w14:paraId="44CA3AC1" w14:textId="77777777" w:rsidR="00BC7A52" w:rsidRPr="00BC7A52" w:rsidRDefault="00BC7A52" w:rsidP="00BC7A52">
      <w:pPr>
        <w:numPr>
          <w:ilvl w:val="0"/>
          <w:numId w:val="5"/>
        </w:numPr>
      </w:pPr>
      <w:r w:rsidRPr="00BC7A52">
        <w:t xml:space="preserve">Healthy profitability and operating margins. </w:t>
      </w:r>
    </w:p>
    <w:p w14:paraId="1D3CD7E1" w14:textId="77777777" w:rsidR="00BC7A52" w:rsidRPr="00BC7A52" w:rsidRDefault="00BC7A52" w:rsidP="00BC7A52">
      <w:pPr>
        <w:numPr>
          <w:ilvl w:val="0"/>
          <w:numId w:val="5"/>
        </w:numPr>
      </w:pPr>
      <w:r w:rsidRPr="00BC7A52">
        <w:lastRenderedPageBreak/>
        <w:t xml:space="preserve">Strong ROCE and efficient capital utilisation. </w:t>
      </w:r>
    </w:p>
    <w:p w14:paraId="42329D71" w14:textId="77777777" w:rsidR="00BC7A52" w:rsidRPr="00BC7A52" w:rsidRDefault="00BC7A52" w:rsidP="00BC7A52">
      <w:pPr>
        <w:numPr>
          <w:ilvl w:val="0"/>
          <w:numId w:val="5"/>
        </w:numPr>
      </w:pPr>
      <w:r w:rsidRPr="00BC7A52">
        <w:t xml:space="preserve">Low financial leverage and strong balance sheet. </w:t>
      </w:r>
    </w:p>
    <w:p w14:paraId="2ACED590" w14:textId="77777777" w:rsidR="00BC7A52" w:rsidRPr="00BC7A52" w:rsidRDefault="00BC7A52" w:rsidP="00BC7A52">
      <w:pPr>
        <w:numPr>
          <w:ilvl w:val="0"/>
          <w:numId w:val="5"/>
        </w:numPr>
      </w:pPr>
      <w:r w:rsidRPr="00BC7A52">
        <w:t xml:space="preserve">Strong free cash-flow generation. </w:t>
      </w:r>
    </w:p>
    <w:p w14:paraId="5BE3C329" w14:textId="77777777" w:rsidR="00BC7A52" w:rsidRPr="00BC7A52" w:rsidRDefault="00BC7A52" w:rsidP="00BC7A52">
      <w:pPr>
        <w:numPr>
          <w:ilvl w:val="0"/>
          <w:numId w:val="5"/>
        </w:numPr>
      </w:pPr>
      <w:r w:rsidRPr="00BC7A52">
        <w:t xml:space="preserve">Increasing exposure to AI, cloud and digital transformation. </w:t>
      </w:r>
    </w:p>
    <w:p w14:paraId="4BC2F188" w14:textId="77777777" w:rsidR="00BC7A52" w:rsidRPr="00BC7A52" w:rsidRDefault="00BC7A52" w:rsidP="00BC7A52">
      <w:r w:rsidRPr="00BC7A52">
        <w:rPr>
          <w:b/>
          <w:bCs/>
        </w:rPr>
        <w:t>Key Risks</w:t>
      </w:r>
    </w:p>
    <w:p w14:paraId="10B8CEFE" w14:textId="77777777" w:rsidR="00BC7A52" w:rsidRPr="00BC7A52" w:rsidRDefault="00BC7A52" w:rsidP="00BC7A52">
      <w:pPr>
        <w:numPr>
          <w:ilvl w:val="0"/>
          <w:numId w:val="6"/>
        </w:numPr>
      </w:pPr>
      <w:r w:rsidRPr="00BC7A52">
        <w:t xml:space="preserve">Intense competition in the global IT-services industry. </w:t>
      </w:r>
    </w:p>
    <w:p w14:paraId="1CE99EEC" w14:textId="77777777" w:rsidR="00BC7A52" w:rsidRPr="00BC7A52" w:rsidRDefault="00BC7A52" w:rsidP="00BC7A52">
      <w:pPr>
        <w:numPr>
          <w:ilvl w:val="0"/>
          <w:numId w:val="6"/>
        </w:numPr>
      </w:pPr>
      <w:r w:rsidRPr="00BC7A52">
        <w:t xml:space="preserve">Potential pressure on operating margins. </w:t>
      </w:r>
    </w:p>
    <w:p w14:paraId="49828380" w14:textId="77777777" w:rsidR="00BC7A52" w:rsidRPr="00BC7A52" w:rsidRDefault="00BC7A52" w:rsidP="00BC7A52">
      <w:pPr>
        <w:numPr>
          <w:ilvl w:val="0"/>
          <w:numId w:val="6"/>
        </w:numPr>
      </w:pPr>
      <w:r w:rsidRPr="00BC7A52">
        <w:t xml:space="preserve">Dependence on global enterprise technology spending. </w:t>
      </w:r>
    </w:p>
    <w:p w14:paraId="2EFB8F15" w14:textId="77777777" w:rsidR="00BC7A52" w:rsidRPr="00BC7A52" w:rsidRDefault="00BC7A52" w:rsidP="00BC7A52">
      <w:pPr>
        <w:numPr>
          <w:ilvl w:val="0"/>
          <w:numId w:val="6"/>
        </w:numPr>
      </w:pPr>
      <w:r w:rsidRPr="00BC7A52">
        <w:t xml:space="preserve">Rapid technological changes and AI-related disruption. </w:t>
      </w:r>
    </w:p>
    <w:p w14:paraId="03ACDA58" w14:textId="77777777" w:rsidR="00BC7A52" w:rsidRPr="00BC7A52" w:rsidRDefault="00BC7A52" w:rsidP="00BC7A52">
      <w:pPr>
        <w:numPr>
          <w:ilvl w:val="0"/>
          <w:numId w:val="6"/>
        </w:numPr>
      </w:pPr>
      <w:r w:rsidRPr="00BC7A52">
        <w:t xml:space="preserve">Macroeconomic and geopolitical uncertainties. </w:t>
      </w:r>
    </w:p>
    <w:p w14:paraId="194120E9" w14:textId="77777777" w:rsidR="00BC7A52" w:rsidRPr="00BC7A52" w:rsidRDefault="00BC7A52" w:rsidP="00BC7A52">
      <w:pPr>
        <w:rPr>
          <w:b/>
          <w:bCs/>
        </w:rPr>
      </w:pPr>
      <w:r w:rsidRPr="00BC7A52">
        <w:rPr>
          <w:b/>
          <w:bCs/>
        </w:rPr>
        <w:t>Valuation Rationale</w:t>
      </w:r>
    </w:p>
    <w:p w14:paraId="7298544C" w14:textId="77777777" w:rsidR="00BC7A52" w:rsidRPr="00BC7A52" w:rsidRDefault="00BC7A52" w:rsidP="00BC7A52">
      <w:r w:rsidRPr="00BC7A52">
        <w:t xml:space="preserve">The DCF model estimates an intrinsic value of </w:t>
      </w:r>
      <w:r w:rsidRPr="00BC7A52">
        <w:rPr>
          <w:b/>
          <w:bCs/>
        </w:rPr>
        <w:t>₹1,128.51 per share</w:t>
      </w:r>
      <w:r w:rsidRPr="00BC7A52">
        <w:t xml:space="preserve">, compared with the market price of </w:t>
      </w:r>
      <w:r w:rsidRPr="00BC7A52">
        <w:rPr>
          <w:b/>
          <w:bCs/>
        </w:rPr>
        <w:t>₹1,121</w:t>
      </w:r>
      <w:r w:rsidRPr="00BC7A52">
        <w:t xml:space="preserve">. The resulting upside of only </w:t>
      </w:r>
      <w:r w:rsidRPr="00BC7A52">
        <w:rPr>
          <w:b/>
          <w:bCs/>
        </w:rPr>
        <w:t>0.67%</w:t>
      </w:r>
      <w:r w:rsidRPr="00BC7A52">
        <w:t xml:space="preserve"> does not provide a sufficient margin of safety for a BUY recommendation.</w:t>
      </w:r>
    </w:p>
    <w:p w14:paraId="58E6D6A7" w14:textId="77777777" w:rsidR="00BC7A52" w:rsidRPr="00BC7A52" w:rsidRDefault="00BC7A52" w:rsidP="00BC7A52">
      <w:r w:rsidRPr="00BC7A52">
        <w:t>Therefore, considering the company's strong fundamentals but limited valuation upside:</w:t>
      </w:r>
    </w:p>
    <w:p w14:paraId="2AC5A600" w14:textId="77777777" w:rsidR="00BC7A52" w:rsidRPr="00BC7A52" w:rsidRDefault="00BC7A52" w:rsidP="00BC7A52">
      <w:pPr>
        <w:rPr>
          <w:b/>
          <w:bCs/>
        </w:rPr>
      </w:pPr>
      <w:r w:rsidRPr="00BC7A52">
        <w:rPr>
          <w:b/>
          <w:bCs/>
        </w:rPr>
        <w:t>HOLD</w:t>
      </w:r>
    </w:p>
    <w:p w14:paraId="7B7E25F6" w14:textId="77777777" w:rsidR="00BC7A52" w:rsidRPr="00BC7A52" w:rsidRDefault="00BC7A52" w:rsidP="00BC7A52">
      <w:r w:rsidRPr="00BC7A52">
        <w:rPr>
          <w:b/>
          <w:bCs/>
        </w:rPr>
        <w:t>Overall conclusion:</w:t>
      </w:r>
      <w:r w:rsidRPr="00BC7A52">
        <w:t xml:space="preserve"> Infosys remains a fundamentally strong business with attractive long-term growth opportunities, but at the current market price the stock appears broadly fairly valued.</w:t>
      </w:r>
    </w:p>
    <w:p w14:paraId="10C05CCD" w14:textId="77777777" w:rsidR="00BC7A52" w:rsidRDefault="00BC7A52"/>
    <w:sectPr w:rsidR="00BC7A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57D0"/>
    <w:multiLevelType w:val="multilevel"/>
    <w:tmpl w:val="2AB2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95BC2"/>
    <w:multiLevelType w:val="multilevel"/>
    <w:tmpl w:val="EDE6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235065"/>
    <w:multiLevelType w:val="multilevel"/>
    <w:tmpl w:val="FD12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073D67"/>
    <w:multiLevelType w:val="multilevel"/>
    <w:tmpl w:val="AF7E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E02E14"/>
    <w:multiLevelType w:val="multilevel"/>
    <w:tmpl w:val="0350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294AD9"/>
    <w:multiLevelType w:val="multilevel"/>
    <w:tmpl w:val="651C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107705">
    <w:abstractNumId w:val="0"/>
  </w:num>
  <w:num w:numId="2" w16cid:durableId="817109141">
    <w:abstractNumId w:val="5"/>
  </w:num>
  <w:num w:numId="3" w16cid:durableId="1885099275">
    <w:abstractNumId w:val="1"/>
  </w:num>
  <w:num w:numId="4" w16cid:durableId="1923103829">
    <w:abstractNumId w:val="2"/>
  </w:num>
  <w:num w:numId="5" w16cid:durableId="646132928">
    <w:abstractNumId w:val="3"/>
  </w:num>
  <w:num w:numId="6" w16cid:durableId="14143576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C87"/>
    <w:rsid w:val="00101901"/>
    <w:rsid w:val="00132627"/>
    <w:rsid w:val="00466822"/>
    <w:rsid w:val="00506B96"/>
    <w:rsid w:val="00540E8C"/>
    <w:rsid w:val="005B2D54"/>
    <w:rsid w:val="006474A8"/>
    <w:rsid w:val="0070279C"/>
    <w:rsid w:val="008066DC"/>
    <w:rsid w:val="00881C87"/>
    <w:rsid w:val="00BC7A52"/>
    <w:rsid w:val="00BD40B4"/>
    <w:rsid w:val="00C802F4"/>
    <w:rsid w:val="00D66789"/>
    <w:rsid w:val="00EB74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42FBF"/>
  <w15:chartTrackingRefBased/>
  <w15:docId w15:val="{0E046568-EFDF-4DF0-8269-B39677727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C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1C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1C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1C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1C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1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C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1C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1C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1C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1C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1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C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C87"/>
    <w:rPr>
      <w:rFonts w:eastAsiaTheme="majorEastAsia" w:cstheme="majorBidi"/>
      <w:color w:val="272727" w:themeColor="text1" w:themeTint="D8"/>
    </w:rPr>
  </w:style>
  <w:style w:type="paragraph" w:styleId="Title">
    <w:name w:val="Title"/>
    <w:basedOn w:val="Normal"/>
    <w:next w:val="Normal"/>
    <w:link w:val="TitleChar"/>
    <w:uiPriority w:val="10"/>
    <w:qFormat/>
    <w:rsid w:val="00881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C87"/>
    <w:pPr>
      <w:spacing w:before="160"/>
      <w:jc w:val="center"/>
    </w:pPr>
    <w:rPr>
      <w:i/>
      <w:iCs/>
      <w:color w:val="404040" w:themeColor="text1" w:themeTint="BF"/>
    </w:rPr>
  </w:style>
  <w:style w:type="character" w:customStyle="1" w:styleId="QuoteChar">
    <w:name w:val="Quote Char"/>
    <w:basedOn w:val="DefaultParagraphFont"/>
    <w:link w:val="Quote"/>
    <w:uiPriority w:val="29"/>
    <w:rsid w:val="00881C87"/>
    <w:rPr>
      <w:i/>
      <w:iCs/>
      <w:color w:val="404040" w:themeColor="text1" w:themeTint="BF"/>
    </w:rPr>
  </w:style>
  <w:style w:type="paragraph" w:styleId="ListParagraph">
    <w:name w:val="List Paragraph"/>
    <w:basedOn w:val="Normal"/>
    <w:uiPriority w:val="34"/>
    <w:qFormat/>
    <w:rsid w:val="00881C87"/>
    <w:pPr>
      <w:ind w:left="720"/>
      <w:contextualSpacing/>
    </w:pPr>
  </w:style>
  <w:style w:type="character" w:styleId="IntenseEmphasis">
    <w:name w:val="Intense Emphasis"/>
    <w:basedOn w:val="DefaultParagraphFont"/>
    <w:uiPriority w:val="21"/>
    <w:qFormat/>
    <w:rsid w:val="00881C87"/>
    <w:rPr>
      <w:i/>
      <w:iCs/>
      <w:color w:val="2F5496" w:themeColor="accent1" w:themeShade="BF"/>
    </w:rPr>
  </w:style>
  <w:style w:type="paragraph" w:styleId="IntenseQuote">
    <w:name w:val="Intense Quote"/>
    <w:basedOn w:val="Normal"/>
    <w:next w:val="Normal"/>
    <w:link w:val="IntenseQuoteChar"/>
    <w:uiPriority w:val="30"/>
    <w:qFormat/>
    <w:rsid w:val="00881C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1C87"/>
    <w:rPr>
      <w:i/>
      <w:iCs/>
      <w:color w:val="2F5496" w:themeColor="accent1" w:themeShade="BF"/>
    </w:rPr>
  </w:style>
  <w:style w:type="character" w:styleId="IntenseReference">
    <w:name w:val="Intense Reference"/>
    <w:basedOn w:val="DefaultParagraphFont"/>
    <w:uiPriority w:val="32"/>
    <w:qFormat/>
    <w:rsid w:val="00881C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2935</Words>
  <Characters>16732</Characters>
  <Application>Microsoft Office Word</Application>
  <DocSecurity>0</DocSecurity>
  <Lines>139</Lines>
  <Paragraphs>39</Paragraphs>
  <ScaleCrop>false</ScaleCrop>
  <Company/>
  <LinksUpToDate>false</LinksUpToDate>
  <CharactersWithSpaces>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satyam mishra</dc:creator>
  <cp:keywords/>
  <dc:description/>
  <cp:lastModifiedBy>satyam mishra</cp:lastModifiedBy>
  <cp:revision>13</cp:revision>
  <dcterms:created xsi:type="dcterms:W3CDTF">2026-08-22T17:26:00Z</dcterms:created>
  <dcterms:modified xsi:type="dcterms:W3CDTF">2026-08-22T17:37:00Z</dcterms:modified>
</cp:coreProperties>
</file>